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10.xml" ContentType="application/vnd.openxmlformats-officedocument.drawingml.chart+xml"/>
  <Override PartName="/word/charts/chart20.xml" ContentType="application/vnd.openxmlformats-officedocument.drawingml.chart+xml"/>
  <Override PartName="/word/charts/chart30.xml" ContentType="application/vnd.openxmlformats-officedocument.drawingml.chart+xml"/>
  <Override PartName="/word/charts/chart40.xml" ContentType="application/vnd.openxmlformats-officedocument.drawingml.chart+xml"/>
  <Override PartName="/word/charts/chart50.xml" ContentType="application/vnd.openxmlformats-officedocument.drawingml.chart+xml"/>
  <Override PartName="/word/charts/chart60.xml" ContentType="application/vnd.openxmlformats-officedocument.drawingml.chart+xml"/>
  <Override PartName="/word/theme/themeOverride10.xml" ContentType="application/vnd.openxmlformats-officedocument.themeOverride+xml"/>
  <Override PartName="/word/charts/colors10.xml" ContentType="application/vnd.ms-office.chartcolorstyle+xml"/>
  <Override PartName="/word/charts/style10.xml" ContentType="application/vnd.ms-office.chartstyle+xml"/>
  <Override PartName="/word/theme/themeOverride20.xml" ContentType="application/vnd.openxmlformats-officedocument.themeOverride+xml"/>
  <Override PartName="/word/charts/colors20.xml" ContentType="application/vnd.ms-office.chartcolorstyle+xml"/>
  <Override PartName="/word/charts/style20.xml" ContentType="application/vnd.ms-office.chartstyle+xml"/>
  <Override PartName="/word/theme/themeOverride30.xml" ContentType="application/vnd.openxmlformats-officedocument.themeOverride+xml"/>
  <Override PartName="/word/charts/colors30.xml" ContentType="application/vnd.ms-office.chartcolorstyle+xml"/>
  <Override PartName="/word/charts/style30.xml" ContentType="application/vnd.ms-office.chartstyle+xml"/>
  <Override PartName="/word/theme/themeOverride40.xml" ContentType="application/vnd.openxmlformats-officedocument.themeOverride+xml"/>
  <Override PartName="/word/charts/colors40.xml" ContentType="application/vnd.ms-office.chartcolorstyle+xml"/>
  <Override PartName="/word/charts/style40.xml" ContentType="application/vnd.ms-office.chartstyle+xml"/>
  <Override PartName="/word/theme/themeOverride50.xml" ContentType="application/vnd.openxmlformats-officedocument.themeOverride+xml"/>
  <Override PartName="/word/charts/colors50.xml" ContentType="application/vnd.ms-office.chartcolorstyle+xml"/>
  <Override PartName="/word/charts/style50.xml" ContentType="application/vnd.ms-office.chartstyle+xml"/>
  <Override PartName="/word/theme/themeOverride60.xml" ContentType="application/vnd.openxmlformats-officedocument.themeOverride+xml"/>
  <Override PartName="/word/charts/colors60.xml" ContentType="application/vnd.ms-office.chartcolorstyle+xml"/>
  <Override PartName="/word/charts/style60.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2F2F2" w:themeColor="background1" w:themeShade="F2">
    <v:background id="_x0000_s1025" o:bwmode="white" fillcolor="#f2f2f2 [3052]">
      <v:fill r:id="rId4" o:title="5%" type="pattern"/>
    </v:background>
  </w:background>
  <w:body>
    <w:p w14:paraId="4CAC3DE6" w14:textId="77777777" w:rsidR="00720190" w:rsidRPr="00E84183" w:rsidRDefault="00720190" w:rsidP="00AB69E4">
      <w:pPr>
        <w:pStyle w:val="NoSpacing1"/>
        <w:spacing w:line="276" w:lineRule="auto"/>
        <w:jc w:val="center"/>
        <w:rPr>
          <w:rFonts w:ascii="Bookman Old Style" w:hAnsi="Bookman Old Style"/>
        </w:rPr>
      </w:pPr>
      <w:r w:rsidRPr="00E84183">
        <w:rPr>
          <w:rFonts w:ascii="Bookman Old Style" w:hAnsi="Bookman Old Style"/>
          <w:noProof/>
        </w:rPr>
        <w:drawing>
          <wp:anchor distT="0" distB="0" distL="114300" distR="114300" simplePos="0" relativeHeight="251660288" behindDoc="0" locked="0" layoutInCell="1" allowOverlap="1" wp14:anchorId="526F88FB" wp14:editId="1BE6F115">
            <wp:simplePos x="0" y="0"/>
            <wp:positionH relativeFrom="margin">
              <wp:posOffset>2278380</wp:posOffset>
            </wp:positionH>
            <wp:positionV relativeFrom="margin">
              <wp:posOffset>-304800</wp:posOffset>
            </wp:positionV>
            <wp:extent cx="1352550" cy="1352550"/>
            <wp:effectExtent l="0" t="0" r="0" b="0"/>
            <wp:wrapSquare wrapText="bothSides"/>
            <wp:docPr id="8" name="Picture 8" descr="D:\DOOSIERS DE PATRICK\NEW  BN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OSIERS DE PATRICK\NEW  BNR 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CF9094" w14:textId="77777777" w:rsidR="00720190" w:rsidRPr="00E84183" w:rsidRDefault="00720190" w:rsidP="00AB69E4">
      <w:pPr>
        <w:spacing w:after="0" w:line="276" w:lineRule="auto"/>
        <w:rPr>
          <w:rFonts w:ascii="Bookman Old Style" w:hAnsi="Bookman Old Style"/>
          <w:color w:val="FFC000"/>
        </w:rPr>
      </w:pPr>
    </w:p>
    <w:p w14:paraId="63EA2015" w14:textId="77777777" w:rsidR="00720190" w:rsidRPr="00E84183" w:rsidRDefault="00720190" w:rsidP="00AB69E4">
      <w:pPr>
        <w:spacing w:after="0" w:line="276" w:lineRule="auto"/>
        <w:rPr>
          <w:rFonts w:ascii="Bookman Old Style" w:hAnsi="Bookman Old Style"/>
          <w:color w:val="FFC000"/>
        </w:rPr>
      </w:pPr>
    </w:p>
    <w:p w14:paraId="27DDA6D0" w14:textId="77777777" w:rsidR="00720190" w:rsidRPr="00E84183" w:rsidRDefault="00720190" w:rsidP="00AB69E4">
      <w:pPr>
        <w:spacing w:after="0" w:line="276" w:lineRule="auto"/>
        <w:rPr>
          <w:rFonts w:ascii="Bookman Old Style" w:hAnsi="Bookman Old Style"/>
        </w:rPr>
      </w:pPr>
    </w:p>
    <w:p w14:paraId="7D554397" w14:textId="77777777" w:rsidR="00720190" w:rsidRPr="00E84183" w:rsidRDefault="00720190" w:rsidP="00AB69E4">
      <w:pPr>
        <w:spacing w:after="0" w:line="276" w:lineRule="auto"/>
        <w:rPr>
          <w:rFonts w:ascii="Bookman Old Style" w:hAnsi="Bookman Old Style"/>
        </w:rPr>
      </w:pPr>
      <w:r w:rsidRPr="00E84183">
        <w:rPr>
          <w:rFonts w:ascii="Bookman Old Style" w:hAnsi="Bookman Old Style"/>
        </w:rPr>
        <w:t xml:space="preserve"> </w:t>
      </w:r>
    </w:p>
    <w:p w14:paraId="4B0EE361" w14:textId="77777777" w:rsidR="00720190" w:rsidRPr="00E84183" w:rsidRDefault="00960DB3" w:rsidP="00AB69E4">
      <w:pPr>
        <w:spacing w:after="0" w:line="276" w:lineRule="auto"/>
        <w:rPr>
          <w:rFonts w:ascii="Bookman Old Style" w:hAnsi="Bookman Old Style"/>
        </w:rPr>
      </w:pPr>
      <w:r w:rsidRPr="00E84183">
        <w:rPr>
          <w:rFonts w:ascii="Bookman Old Style" w:hAnsi="Bookman Old Style"/>
          <w:noProof/>
          <w:color w:val="FFC000"/>
        </w:rPr>
        <mc:AlternateContent>
          <mc:Choice Requires="wps">
            <w:drawing>
              <wp:anchor distT="0" distB="0" distL="114300" distR="114300" simplePos="0" relativeHeight="251661312" behindDoc="0" locked="0" layoutInCell="1" allowOverlap="1" wp14:anchorId="05BB7BB0" wp14:editId="0484C63D">
                <wp:simplePos x="0" y="0"/>
                <wp:positionH relativeFrom="column">
                  <wp:posOffset>571500</wp:posOffset>
                </wp:positionH>
                <wp:positionV relativeFrom="paragraph">
                  <wp:posOffset>171449</wp:posOffset>
                </wp:positionV>
                <wp:extent cx="5267325" cy="1114425"/>
                <wp:effectExtent l="0" t="0" r="9525" b="952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67325" cy="11144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F23C3C9" w14:textId="77777777" w:rsidR="00C11618" w:rsidRPr="00C57894" w:rsidRDefault="00C11618" w:rsidP="001C54A4">
                            <w:pPr>
                              <w:pStyle w:val="NormalWeb"/>
                              <w:spacing w:before="120" w:after="120" w:line="360" w:lineRule="auto"/>
                              <w:jc w:val="center"/>
                              <w:rPr>
                                <w:rFonts w:ascii="BentonSans Book" w:hAnsi="BentonSans Book"/>
                                <w:b/>
                                <w:color w:val="0070C0"/>
                                <w:sz w:val="48"/>
                                <w:szCs w:val="22"/>
                              </w:rPr>
                            </w:pPr>
                            <w:r w:rsidRPr="00C57894">
                              <w:rPr>
                                <w:rFonts w:ascii="BentonSans Book" w:hAnsi="BentonSans Book"/>
                                <w:b/>
                                <w:color w:val="0070C0"/>
                                <w:sz w:val="48"/>
                                <w:szCs w:val="22"/>
                              </w:rPr>
                              <w:t>NATIONAL BANK OF RWANDA</w:t>
                            </w:r>
                          </w:p>
                          <w:p w14:paraId="6A1AA3A6" w14:textId="77777777" w:rsidR="00C11618" w:rsidRDefault="00C11618" w:rsidP="001C54A4">
                            <w:pPr>
                              <w:pStyle w:val="NormalWeb"/>
                              <w:spacing w:before="120" w:after="120" w:line="360" w:lineRule="auto"/>
                              <w:jc w:val="center"/>
                              <w:rPr>
                                <w:rFonts w:ascii="BentonSans Book" w:hAnsi="BentonSans Book"/>
                                <w:b/>
                                <w:color w:val="0070C0"/>
                                <w:sz w:val="40"/>
                                <w:szCs w:val="22"/>
                              </w:rPr>
                            </w:pPr>
                            <w:r w:rsidRPr="00C57894">
                              <w:rPr>
                                <w:rFonts w:ascii="BentonSans Book" w:hAnsi="BentonSans Book"/>
                                <w:b/>
                                <w:color w:val="0070C0"/>
                                <w:sz w:val="48"/>
                                <w:szCs w:val="22"/>
                              </w:rPr>
                              <w:t>BANKI NKURU Y’U RWANDA</w:t>
                            </w:r>
                          </w:p>
                          <w:p w14:paraId="1B0508E6" w14:textId="77777777" w:rsidR="00D24940" w:rsidRDefault="00D24940" w:rsidP="001C54A4">
                            <w:pPr>
                              <w:pStyle w:val="NormalWeb"/>
                              <w:spacing w:before="120" w:after="120" w:line="360" w:lineRule="auto"/>
                              <w:jc w:val="center"/>
                              <w:rPr>
                                <w:rFonts w:ascii="BentonSans Book" w:hAnsi="BentonSans Book"/>
                                <w:b/>
                                <w:color w:val="0070C0"/>
                                <w:sz w:val="40"/>
                                <w:szCs w:val="22"/>
                              </w:rPr>
                            </w:pPr>
                          </w:p>
                          <w:p w14:paraId="2B33211E" w14:textId="77777777" w:rsidR="00D24940" w:rsidRDefault="00D24940" w:rsidP="001C54A4">
                            <w:pPr>
                              <w:pStyle w:val="NormalWeb"/>
                              <w:spacing w:before="120" w:after="120" w:line="360" w:lineRule="auto"/>
                              <w:jc w:val="center"/>
                              <w:rPr>
                                <w:rFonts w:ascii="BentonSans Book" w:hAnsi="BentonSans Book"/>
                                <w:b/>
                                <w:color w:val="0070C0"/>
                                <w:sz w:val="40"/>
                                <w:szCs w:val="22"/>
                              </w:rPr>
                            </w:pPr>
                          </w:p>
                          <w:p w14:paraId="638A5343" w14:textId="77777777" w:rsidR="00D24940" w:rsidRPr="00D24940" w:rsidRDefault="00D24940" w:rsidP="001C54A4">
                            <w:pPr>
                              <w:pStyle w:val="NormalWeb"/>
                              <w:spacing w:before="120" w:after="120" w:line="360" w:lineRule="auto"/>
                              <w:jc w:val="center"/>
                              <w:rPr>
                                <w:rFonts w:ascii="BentonSans Book" w:hAnsi="BentonSans Book"/>
                                <w:b/>
                                <w:color w:val="0070C0"/>
                                <w:sz w:val="38"/>
                                <w:szCs w:val="22"/>
                              </w:rPr>
                            </w:pPr>
                          </w:p>
                          <w:p w14:paraId="4CA92999" w14:textId="77777777" w:rsidR="00C11618" w:rsidRPr="008034D1" w:rsidRDefault="00C11618" w:rsidP="00720190"/>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7B003009" id="_x0000_t202" coordsize="21600,21600" o:spt="202" path="m,l,21600r21600,l21600,xe">
                <v:stroke joinstyle="miter"/>
                <v:path gradientshapeok="t" o:connecttype="rect"/>
              </v:shapetype>
              <v:shape id="Text Box 7" o:spid="_x0000_s1026" type="#_x0000_t202" style="position:absolute;margin-left:45pt;margin-top:13.5pt;width:414.75pt;height:8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" stroked="f" strokeweight=".5pt">
                <v:path arrowok="t"/>
                <v:textbox>
                  <w:txbxContent>
                    <w:p w:rsidR="00C11618" w:rsidRPr="00C57894" w:rsidRDefault="00C11618" w:rsidP="001C54A4">
                      <w:pPr>
                        <w:pStyle w:val="NormalWeb"/>
                        <w:spacing w:before="120" w:after="120" w:line="360" w:lineRule="auto"/>
                        <w:jc w:val="center"/>
                        <w:rPr>
                          <w:rFonts w:ascii="BentonSans Book" w:hAnsi="BentonSans Book"/>
                          <w:b/>
                          <w:color w:val="0070C0"/>
                          <w:sz w:val="48"/>
                          <w:szCs w:val="22"/>
                        </w:rPr>
                      </w:pPr>
                      <w:r w:rsidRPr="00C57894">
                        <w:rPr>
                          <w:rFonts w:ascii="BentonSans Book" w:hAnsi="BentonSans Book"/>
                          <w:b/>
                          <w:color w:val="0070C0"/>
                          <w:sz w:val="48"/>
                          <w:szCs w:val="22"/>
                        </w:rPr>
                        <w:t>NATIONAL BANK OF RWANDA</w:t>
                      </w:r>
                    </w:p>
                    <w:p w:rsidR="00C11618" w:rsidRDefault="00C11618" w:rsidP="001C54A4">
                      <w:pPr>
                        <w:pStyle w:val="NormalWeb"/>
                        <w:spacing w:before="120" w:after="120" w:line="360" w:lineRule="auto"/>
                        <w:jc w:val="center"/>
                        <w:rPr>
                          <w:rFonts w:ascii="BentonSans Book" w:hAnsi="BentonSans Book"/>
                          <w:b/>
                          <w:color w:val="0070C0"/>
                          <w:sz w:val="40"/>
                          <w:szCs w:val="22"/>
                        </w:rPr>
                      </w:pPr>
                      <w:r w:rsidRPr="00C57894">
                        <w:rPr>
                          <w:rFonts w:ascii="BentonSans Book" w:hAnsi="BentonSans Book"/>
                          <w:b/>
                          <w:color w:val="0070C0"/>
                          <w:sz w:val="48"/>
                          <w:szCs w:val="22"/>
                        </w:rPr>
                        <w:t>BANKI NKURU Y’U RWANDA</w:t>
                      </w:r>
                    </w:p>
                    <w:p w:rsidR="00D24940" w:rsidRDefault="00D24940" w:rsidP="001C54A4">
                      <w:pPr>
                        <w:pStyle w:val="NormalWeb"/>
                        <w:spacing w:before="120" w:after="120" w:line="360" w:lineRule="auto"/>
                        <w:jc w:val="center"/>
                        <w:rPr>
                          <w:rFonts w:ascii="BentonSans Book" w:hAnsi="BentonSans Book"/>
                          <w:b/>
                          <w:color w:val="0070C0"/>
                          <w:sz w:val="40"/>
                          <w:szCs w:val="22"/>
                        </w:rPr>
                      </w:pPr>
                    </w:p>
                    <w:p w:rsidR="00D24940" w:rsidRDefault="00D24940" w:rsidP="001C54A4">
                      <w:pPr>
                        <w:pStyle w:val="NormalWeb"/>
                        <w:spacing w:before="120" w:after="120" w:line="360" w:lineRule="auto"/>
                        <w:jc w:val="center"/>
                        <w:rPr>
                          <w:rFonts w:ascii="BentonSans Book" w:hAnsi="BentonSans Book"/>
                          <w:b/>
                          <w:color w:val="0070C0"/>
                          <w:sz w:val="40"/>
                          <w:szCs w:val="22"/>
                        </w:rPr>
                      </w:pPr>
                    </w:p>
                    <w:p w:rsidR="00D24940" w:rsidRPr="00D24940" w:rsidRDefault="00D24940" w:rsidP="001C54A4">
                      <w:pPr>
                        <w:pStyle w:val="NormalWeb"/>
                        <w:spacing w:before="120" w:after="120" w:line="360" w:lineRule="auto"/>
                        <w:jc w:val="center"/>
                        <w:rPr>
                          <w:rFonts w:ascii="BentonSans Book" w:hAnsi="BentonSans Book"/>
                          <w:b/>
                          <w:color w:val="0070C0"/>
                          <w:sz w:val="38"/>
                          <w:szCs w:val="22"/>
                        </w:rPr>
                      </w:pPr>
                    </w:p>
                    <w:p w:rsidR="00C11618" w:rsidRPr="008034D1" w:rsidRDefault="00C11618" w:rsidP="00720190"/>
                  </w:txbxContent>
                </v:textbox>
              </v:shape>
            </w:pict>
          </mc:Fallback>
        </mc:AlternateContent>
      </w:r>
    </w:p>
    <w:p w14:paraId="1535CCE5" w14:textId="77777777" w:rsidR="00720190" w:rsidRPr="00E84183" w:rsidRDefault="00720190" w:rsidP="00AB69E4">
      <w:pPr>
        <w:spacing w:after="0" w:line="276" w:lineRule="auto"/>
        <w:rPr>
          <w:rFonts w:ascii="Bookman Old Style" w:hAnsi="Bookman Old Style"/>
        </w:rPr>
      </w:pPr>
    </w:p>
    <w:p w14:paraId="4C0219B3" w14:textId="77777777" w:rsidR="00891E5E" w:rsidRPr="00E84183" w:rsidRDefault="00891E5E" w:rsidP="00AB69E4">
      <w:pPr>
        <w:spacing w:after="0" w:line="276" w:lineRule="auto"/>
        <w:rPr>
          <w:rFonts w:ascii="Bookman Old Style" w:hAnsi="Bookman Old Style"/>
          <w:b/>
        </w:rPr>
      </w:pPr>
    </w:p>
    <w:p w14:paraId="07A0BDD3" w14:textId="77777777" w:rsidR="00891E5E" w:rsidRPr="00E84183" w:rsidRDefault="00891E5E" w:rsidP="00AB69E4">
      <w:pPr>
        <w:spacing w:after="0" w:line="276" w:lineRule="auto"/>
        <w:rPr>
          <w:rFonts w:ascii="Bookman Old Style" w:hAnsi="Bookman Old Style"/>
          <w:b/>
        </w:rPr>
      </w:pPr>
    </w:p>
    <w:p w14:paraId="3C9EFA4E" w14:textId="77777777" w:rsidR="00E84183" w:rsidRDefault="00E84183" w:rsidP="00AB69E4">
      <w:pPr>
        <w:spacing w:after="0" w:line="276" w:lineRule="auto"/>
        <w:jc w:val="center"/>
        <w:rPr>
          <w:rFonts w:ascii="Bookman Old Style" w:hAnsi="Bookman Old Style"/>
          <w:b/>
          <w:color w:val="0070C0"/>
        </w:rPr>
      </w:pPr>
    </w:p>
    <w:p w14:paraId="39F55415" w14:textId="77777777" w:rsidR="00E84183" w:rsidRDefault="00E84183" w:rsidP="00AB69E4">
      <w:pPr>
        <w:spacing w:after="0" w:line="276" w:lineRule="auto"/>
        <w:jc w:val="center"/>
        <w:rPr>
          <w:rFonts w:ascii="Bookman Old Style" w:hAnsi="Bookman Old Style"/>
          <w:b/>
          <w:color w:val="0070C0"/>
        </w:rPr>
      </w:pPr>
    </w:p>
    <w:p w14:paraId="13A789FD" w14:textId="77777777" w:rsidR="00E84183" w:rsidRDefault="001C4946" w:rsidP="00AB69E4">
      <w:pPr>
        <w:spacing w:after="0" w:line="276" w:lineRule="auto"/>
        <w:jc w:val="center"/>
        <w:rPr>
          <w:rFonts w:ascii="Bookman Old Style" w:hAnsi="Bookman Old Style"/>
          <w:b/>
          <w:color w:val="0070C0"/>
        </w:rPr>
      </w:pPr>
      <w:r w:rsidRPr="00E84183">
        <w:rPr>
          <w:rFonts w:ascii="Bookman Old Style" w:hAnsi="Bookman Old Style"/>
          <w:noProof/>
        </w:rPr>
        <mc:AlternateContent>
          <mc:Choice Requires="wps">
            <w:drawing>
              <wp:anchor distT="0" distB="0" distL="114300" distR="114300" simplePos="0" relativeHeight="251662336" behindDoc="0" locked="0" layoutInCell="1" allowOverlap="1" wp14:anchorId="74B5C795" wp14:editId="7CB68C85">
                <wp:simplePos x="0" y="0"/>
                <wp:positionH relativeFrom="page">
                  <wp:posOffset>342900</wp:posOffset>
                </wp:positionH>
                <wp:positionV relativeFrom="margin">
                  <wp:posOffset>2276475</wp:posOffset>
                </wp:positionV>
                <wp:extent cx="7086600" cy="1733550"/>
                <wp:effectExtent l="0" t="0" r="19050" b="1905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86600" cy="1733550"/>
                        </a:xfrm>
                        <a:prstGeom prst="rect">
                          <a:avLst/>
                        </a:prstGeom>
                        <a:solidFill>
                          <a:srgbClr val="FEBB00"/>
                        </a:solidFill>
                        <a:ln w="6350">
                          <a:solidFill>
                            <a:sysClr val="window" lastClr="FFFFFF">
                              <a:lumMod val="100000"/>
                              <a:lumOff val="0"/>
                            </a:sysClr>
                          </a:solidFill>
                          <a:miter lim="800000"/>
                          <a:headEnd/>
                          <a:tailEnd/>
                        </a:ln>
                      </wps:spPr>
                      <wps:txbx>
                        <w:txbxContent>
                          <w:p w14:paraId="74CD3999" w14:textId="77777777" w:rsidR="00C11618" w:rsidRDefault="00C11618" w:rsidP="00C662E7">
                            <w:pPr>
                              <w:pStyle w:val="NoSpacing1"/>
                              <w:shd w:val="clear" w:color="auto" w:fill="CC9900"/>
                              <w:jc w:val="center"/>
                              <w:rPr>
                                <w:rFonts w:ascii="Bookman Old Style" w:hAnsi="Bookman Old Style" w:cs="Calibri"/>
                                <w:b/>
                                <w:color w:val="002060"/>
                                <w:sz w:val="36"/>
                                <w:szCs w:val="36"/>
                              </w:rPr>
                            </w:pPr>
                          </w:p>
                          <w:p w14:paraId="002795D3" w14:textId="77777777" w:rsidR="00D24940" w:rsidRPr="00C57894" w:rsidRDefault="00384385" w:rsidP="00D24940">
                            <w:pPr>
                              <w:pStyle w:val="NormalWeb"/>
                              <w:spacing w:before="120" w:after="120" w:line="360" w:lineRule="auto"/>
                              <w:jc w:val="center"/>
                              <w:rPr>
                                <w:rFonts w:ascii="BentonSans Book" w:hAnsi="BentonSans Book"/>
                                <w:b/>
                                <w:sz w:val="48"/>
                                <w:szCs w:val="48"/>
                              </w:rPr>
                            </w:pPr>
                            <w:r w:rsidRPr="00C57894">
                              <w:rPr>
                                <w:rFonts w:ascii="BentonSans Book" w:hAnsi="BentonSans Book"/>
                                <w:b/>
                                <w:sz w:val="48"/>
                                <w:szCs w:val="48"/>
                              </w:rPr>
                              <w:t>QUARTERLY CREDIT SURVEY REPORT</w:t>
                            </w:r>
                          </w:p>
                          <w:p w14:paraId="09AB8138" w14:textId="77777777" w:rsidR="00384385" w:rsidRPr="00C57894" w:rsidRDefault="00384385" w:rsidP="00D24940">
                            <w:pPr>
                              <w:pStyle w:val="NormalWeb"/>
                              <w:spacing w:before="120" w:after="120" w:line="360" w:lineRule="auto"/>
                              <w:jc w:val="center"/>
                              <w:rPr>
                                <w:rFonts w:ascii="BentonSans Book" w:hAnsi="BentonSans Book"/>
                                <w:b/>
                                <w:sz w:val="48"/>
                                <w:szCs w:val="48"/>
                              </w:rPr>
                            </w:pPr>
                            <w:r w:rsidRPr="00C57894">
                              <w:rPr>
                                <w:rFonts w:ascii="BentonSans Book" w:hAnsi="BentonSans Book"/>
                                <w:b/>
                                <w:sz w:val="48"/>
                                <w:szCs w:val="48"/>
                              </w:rPr>
                              <w:t xml:space="preserve">QUARTER </w:t>
                            </w:r>
                            <w:r w:rsidR="00D24940" w:rsidRPr="00C57894">
                              <w:rPr>
                                <w:rFonts w:ascii="BentonSans Book" w:hAnsi="BentonSans Book"/>
                                <w:b/>
                                <w:sz w:val="48"/>
                                <w:szCs w:val="48"/>
                              </w:rPr>
                              <w:t>FOUR 2018</w:t>
                            </w:r>
                          </w:p>
                          <w:p w14:paraId="1388F25A" w14:textId="77777777" w:rsidR="00384385" w:rsidRPr="002A006E" w:rsidRDefault="00384385" w:rsidP="002A006E">
                            <w:pPr>
                              <w:pStyle w:val="NormalWeb"/>
                              <w:spacing w:before="120" w:after="120" w:line="360" w:lineRule="auto"/>
                              <w:jc w:val="center"/>
                              <w:rPr>
                                <w:rFonts w:ascii="BentonSans Book" w:hAnsi="BentonSans Book"/>
                                <w:b/>
                                <w:color w:val="0070C0"/>
                                <w:sz w:val="32"/>
                                <w:szCs w:val="22"/>
                              </w:rPr>
                            </w:pPr>
                          </w:p>
                          <w:p w14:paraId="07C6209C" w14:textId="77777777" w:rsidR="00C11618" w:rsidRPr="008034D1" w:rsidRDefault="00C11618" w:rsidP="00C662E7">
                            <w:pPr>
                              <w:shd w:val="clear" w:color="auto" w:fill="CC9900"/>
                              <w:spacing w:after="0" w:line="240" w:lineRule="auto"/>
                              <w:jc w:val="center"/>
                              <w:rPr>
                                <w:rFonts w:ascii="Bookman Old Style" w:hAnsi="Bookman Old Style"/>
                                <w:b/>
                                <w:sz w:val="36"/>
                                <w:szCs w:val="36"/>
                              </w:rPr>
                            </w:pPr>
                          </w:p>
                          <w:p w14:paraId="56DDB48F" w14:textId="77777777" w:rsidR="00C11618" w:rsidRPr="005A538A" w:rsidRDefault="00C11618" w:rsidP="00C662E7">
                            <w:pPr>
                              <w:shd w:val="clear" w:color="auto" w:fill="CC9900"/>
                              <w:spacing w:after="0" w:line="240" w:lineRule="auto"/>
                              <w:jc w:val="center"/>
                              <w:rPr>
                                <w:rFonts w:ascii="Bookman Old Style" w:hAnsi="Bookman Old Style"/>
                                <w:b/>
                                <w:color w:val="002060"/>
                                <w:sz w:val="36"/>
                                <w:szCs w:val="36"/>
                              </w:rPr>
                            </w:pPr>
                          </w:p>
                          <w:p w14:paraId="1264B6C5" w14:textId="77777777" w:rsidR="00C11618" w:rsidRPr="00720190" w:rsidRDefault="00C11618" w:rsidP="00720190">
                            <w:pPr>
                              <w:pStyle w:val="NoSpacing1"/>
                              <w:shd w:val="clear" w:color="auto" w:fill="CC9900"/>
                              <w:jc w:val="center"/>
                              <w:rPr>
                                <w:rFonts w:cs="Calibri"/>
                                <w:b/>
                                <w:color w:val="002060"/>
                                <w:sz w:val="48"/>
                                <w:szCs w:val="48"/>
                              </w:rPr>
                            </w:pPr>
                          </w:p>
                          <w:p w14:paraId="3CC45312" w14:textId="77777777" w:rsidR="00C11618" w:rsidRPr="00FB543C" w:rsidRDefault="00C11618" w:rsidP="00720190">
                            <w:pPr>
                              <w:pStyle w:val="NoSpacing1"/>
                              <w:shd w:val="clear" w:color="auto" w:fill="CC9900"/>
                              <w:jc w:val="center"/>
                              <w:rPr>
                                <w:rFonts w:cs="Calibri"/>
                                <w:b/>
                                <w:color w:val="FFFFFF"/>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C7B135" id="Text Box 4" o:spid="_x0000_s1027" type="#_x0000_t202" style="position:absolute;left:0;text-align:left;margin-left:27pt;margin-top:179.25pt;width:558pt;height:13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" fillcolor="#febb00" strokecolor="white" strokeweight=".5pt">
                <v:path arrowok="t"/>
                <v:textbox>
                  <w:txbxContent>
                    <w:p w:rsidR="00C11618" w:rsidRDefault="00C11618" w:rsidP="00C662E7">
                      <w:pPr>
                        <w:pStyle w:val="NoSpacing1"/>
                        <w:shd w:val="clear" w:color="auto" w:fill="CC9900"/>
                        <w:jc w:val="center"/>
                        <w:rPr>
                          <w:rFonts w:ascii="Bookman Old Style" w:hAnsi="Bookman Old Style" w:cs="Calibri"/>
                          <w:b/>
                          <w:color w:val="002060"/>
                          <w:sz w:val="36"/>
                          <w:szCs w:val="36"/>
                        </w:rPr>
                      </w:pPr>
                    </w:p>
                    <w:p w:rsidR="00D24940" w:rsidRPr="00C57894" w:rsidRDefault="00384385" w:rsidP="00D24940">
                      <w:pPr>
                        <w:pStyle w:val="NormalWeb"/>
                        <w:spacing w:before="120" w:after="120" w:line="360" w:lineRule="auto"/>
                        <w:jc w:val="center"/>
                        <w:rPr>
                          <w:rFonts w:ascii="BentonSans Book" w:hAnsi="BentonSans Book"/>
                          <w:b/>
                          <w:sz w:val="48"/>
                          <w:szCs w:val="48"/>
                        </w:rPr>
                      </w:pPr>
                      <w:r w:rsidRPr="00C57894">
                        <w:rPr>
                          <w:rFonts w:ascii="BentonSans Book" w:hAnsi="BentonSans Book"/>
                          <w:b/>
                          <w:sz w:val="48"/>
                          <w:szCs w:val="48"/>
                        </w:rPr>
                        <w:t>QUARTERLY CREDIT SURVEY REPORT</w:t>
                      </w:r>
                    </w:p>
                    <w:p w:rsidR="00384385" w:rsidRPr="00C57894" w:rsidRDefault="00384385" w:rsidP="00D24940">
                      <w:pPr>
                        <w:pStyle w:val="NormalWeb"/>
                        <w:spacing w:before="120" w:after="120" w:line="360" w:lineRule="auto"/>
                        <w:jc w:val="center"/>
                        <w:rPr>
                          <w:rFonts w:ascii="BentonSans Book" w:hAnsi="BentonSans Book"/>
                          <w:b/>
                          <w:sz w:val="48"/>
                          <w:szCs w:val="48"/>
                        </w:rPr>
                      </w:pPr>
                      <w:r w:rsidRPr="00C57894">
                        <w:rPr>
                          <w:rFonts w:ascii="BentonSans Book" w:hAnsi="BentonSans Book"/>
                          <w:b/>
                          <w:sz w:val="48"/>
                          <w:szCs w:val="48"/>
                        </w:rPr>
                        <w:t xml:space="preserve">QUARTER </w:t>
                      </w:r>
                      <w:r w:rsidR="00D24940" w:rsidRPr="00C57894">
                        <w:rPr>
                          <w:rFonts w:ascii="BentonSans Book" w:hAnsi="BentonSans Book"/>
                          <w:b/>
                          <w:sz w:val="48"/>
                          <w:szCs w:val="48"/>
                        </w:rPr>
                        <w:t>FOUR 2018</w:t>
                      </w:r>
                    </w:p>
                    <w:p w:rsidR="00384385" w:rsidRPr="002A006E" w:rsidRDefault="00384385" w:rsidP="002A006E">
                      <w:pPr>
                        <w:pStyle w:val="NormalWeb"/>
                        <w:spacing w:before="120" w:after="120" w:line="360" w:lineRule="auto"/>
                        <w:jc w:val="center"/>
                        <w:rPr>
                          <w:rFonts w:ascii="BentonSans Book" w:hAnsi="BentonSans Book"/>
                          <w:b/>
                          <w:color w:val="0070C0"/>
                          <w:sz w:val="32"/>
                          <w:szCs w:val="22"/>
                        </w:rPr>
                      </w:pPr>
                    </w:p>
                    <w:p w:rsidR="00C11618" w:rsidRPr="008034D1" w:rsidRDefault="00C11618" w:rsidP="00C662E7">
                      <w:pPr>
                        <w:shd w:val="clear" w:color="auto" w:fill="CC9900"/>
                        <w:spacing w:after="0" w:line="240" w:lineRule="auto"/>
                        <w:jc w:val="center"/>
                        <w:rPr>
                          <w:rFonts w:ascii="Bookman Old Style" w:hAnsi="Bookman Old Style"/>
                          <w:b/>
                          <w:sz w:val="36"/>
                          <w:szCs w:val="36"/>
                        </w:rPr>
                      </w:pPr>
                    </w:p>
                    <w:p w:rsidR="00C11618" w:rsidRPr="005A538A" w:rsidRDefault="00C11618" w:rsidP="00C662E7">
                      <w:pPr>
                        <w:shd w:val="clear" w:color="auto" w:fill="CC9900"/>
                        <w:spacing w:after="0" w:line="240" w:lineRule="auto"/>
                        <w:jc w:val="center"/>
                        <w:rPr>
                          <w:rFonts w:ascii="Bookman Old Style" w:hAnsi="Bookman Old Style"/>
                          <w:b/>
                          <w:color w:val="002060"/>
                          <w:sz w:val="36"/>
                          <w:szCs w:val="36"/>
                        </w:rPr>
                      </w:pPr>
                    </w:p>
                    <w:p w:rsidR="00C11618" w:rsidRPr="00720190" w:rsidRDefault="00C11618" w:rsidP="00720190">
                      <w:pPr>
                        <w:pStyle w:val="NoSpacing1"/>
                        <w:shd w:val="clear" w:color="auto" w:fill="CC9900"/>
                        <w:jc w:val="center"/>
                        <w:rPr>
                          <w:rFonts w:cs="Calibri"/>
                          <w:b/>
                          <w:color w:val="002060"/>
                          <w:sz w:val="48"/>
                          <w:szCs w:val="48"/>
                        </w:rPr>
                      </w:pPr>
                    </w:p>
                    <w:p w:rsidR="00C11618" w:rsidRPr="00FB543C" w:rsidRDefault="00C11618" w:rsidP="00720190">
                      <w:pPr>
                        <w:pStyle w:val="NoSpacing1"/>
                        <w:shd w:val="clear" w:color="auto" w:fill="CC9900"/>
                        <w:jc w:val="center"/>
                        <w:rPr>
                          <w:rFonts w:cs="Calibri"/>
                          <w:b/>
                          <w:color w:val="FFFFFF"/>
                          <w:sz w:val="52"/>
                          <w:szCs w:val="52"/>
                        </w:rPr>
                      </w:pPr>
                    </w:p>
                  </w:txbxContent>
                </v:textbox>
                <w10:wrap type="square" anchorx="page" anchory="margin"/>
              </v:shape>
            </w:pict>
          </mc:Fallback>
        </mc:AlternateContent>
      </w:r>
    </w:p>
    <w:p w14:paraId="1D657904" w14:textId="77777777" w:rsidR="00E35D50" w:rsidRDefault="00E35D50" w:rsidP="00AB69E4">
      <w:pPr>
        <w:spacing w:after="0" w:line="276" w:lineRule="auto"/>
        <w:jc w:val="center"/>
        <w:rPr>
          <w:rFonts w:ascii="Bookman Old Style" w:hAnsi="Bookman Old Style"/>
          <w:b/>
          <w:color w:val="0070C0"/>
        </w:rPr>
      </w:pPr>
    </w:p>
    <w:p w14:paraId="58E05A94" w14:textId="77777777" w:rsidR="00E35D50" w:rsidRPr="00E35D50" w:rsidRDefault="00E35D50" w:rsidP="00AB69E4">
      <w:pPr>
        <w:spacing w:after="0"/>
        <w:rPr>
          <w:rFonts w:ascii="Bookman Old Style" w:hAnsi="Bookman Old Style"/>
        </w:rPr>
      </w:pPr>
      <w:r w:rsidRPr="00E84183">
        <w:rPr>
          <w:rFonts w:ascii="Bookman Old Style" w:hAnsi="Bookman Old Style"/>
          <w:noProof/>
        </w:rPr>
        <w:drawing>
          <wp:anchor distT="0" distB="0" distL="114300" distR="114300" simplePos="0" relativeHeight="251688960" behindDoc="0" locked="0" layoutInCell="1" allowOverlap="1" wp14:anchorId="0239D204" wp14:editId="7F3A9521">
            <wp:simplePos x="0" y="0"/>
            <wp:positionH relativeFrom="page">
              <wp:align>right</wp:align>
            </wp:positionH>
            <wp:positionV relativeFrom="page">
              <wp:align>bottom</wp:align>
            </wp:positionV>
            <wp:extent cx="7759282" cy="47815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59282" cy="4781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FFCE96" w14:textId="77777777" w:rsidR="00E35D50" w:rsidRPr="00E35D50" w:rsidRDefault="00E35D50" w:rsidP="00AB69E4">
      <w:pPr>
        <w:spacing w:after="0"/>
        <w:rPr>
          <w:rFonts w:ascii="Bookman Old Style" w:hAnsi="Bookman Old Style"/>
        </w:rPr>
        <w:sectPr w:rsidR="00E35D50" w:rsidRPr="00E35D50" w:rsidSect="001C4946">
          <w:pgSz w:w="12240" w:h="15840"/>
          <w:pgMar w:top="1260" w:right="1260" w:bottom="1350" w:left="1440" w:header="720" w:footer="720" w:gutter="0"/>
          <w:cols w:space="720"/>
          <w:docGrid w:linePitch="360"/>
        </w:sectPr>
      </w:pPr>
    </w:p>
    <w:p w14:paraId="3DA51CC5" w14:textId="77777777" w:rsidR="001C0F90" w:rsidRPr="00D24940" w:rsidRDefault="001C0F90" w:rsidP="00D24940">
      <w:pPr>
        <w:pStyle w:val="NormalWeb"/>
        <w:spacing w:before="120" w:after="120" w:line="360" w:lineRule="auto"/>
        <w:jc w:val="center"/>
        <w:rPr>
          <w:rFonts w:ascii="BentonSans Book" w:hAnsi="BentonSans Book"/>
          <w:b/>
          <w:color w:val="0070C0"/>
          <w:szCs w:val="22"/>
        </w:rPr>
      </w:pPr>
      <w:r w:rsidRPr="00D24940">
        <w:rPr>
          <w:rFonts w:ascii="BentonSans Book" w:hAnsi="BentonSans Book"/>
          <w:b/>
          <w:color w:val="0070C0"/>
          <w:szCs w:val="22"/>
        </w:rPr>
        <w:lastRenderedPageBreak/>
        <w:t>BNR IDENTITY STATEMENT</w:t>
      </w:r>
    </w:p>
    <w:p w14:paraId="024D87F6" w14:textId="77777777" w:rsidR="001C0F90" w:rsidRPr="00053800" w:rsidRDefault="001C0F90" w:rsidP="00D24940">
      <w:pPr>
        <w:pStyle w:val="NormalWeb"/>
        <w:spacing w:before="120" w:after="120" w:line="360" w:lineRule="auto"/>
        <w:jc w:val="both"/>
        <w:rPr>
          <w:rFonts w:ascii="BentonSans Book" w:hAnsi="BentonSans Book"/>
          <w:b/>
          <w:sz w:val="32"/>
          <w:szCs w:val="22"/>
        </w:rPr>
      </w:pPr>
      <w:r w:rsidRPr="00053800">
        <w:rPr>
          <w:rFonts w:ascii="BentonSans Book" w:hAnsi="BentonSans Book"/>
          <w:sz w:val="22"/>
          <w:szCs w:val="22"/>
        </w:rPr>
        <w:t>The National Bank of Rwanda strives to become a world class Central Bank that contributes to the economic growth and development by using robust monetary policy tools to maintain stable market prices. The bank embraces innovation, diversity and inclusiveness, economic integration and ensures financial stability in a free market economy</w:t>
      </w:r>
      <w:r w:rsidRPr="00053800">
        <w:rPr>
          <w:rFonts w:ascii="BentonSans Book" w:hAnsi="BentonSans Book"/>
          <w:b/>
          <w:sz w:val="32"/>
          <w:szCs w:val="22"/>
        </w:rPr>
        <w:t xml:space="preserve">.  </w:t>
      </w:r>
    </w:p>
    <w:p w14:paraId="7365AC66" w14:textId="77777777" w:rsidR="00F22446" w:rsidRDefault="00F22446" w:rsidP="00D24940">
      <w:pPr>
        <w:pStyle w:val="NormalWeb"/>
        <w:spacing w:before="120" w:after="120" w:line="360" w:lineRule="auto"/>
        <w:jc w:val="center"/>
        <w:rPr>
          <w:rFonts w:ascii="BentonSans Book" w:hAnsi="BentonSans Book"/>
          <w:b/>
          <w:color w:val="0070C0"/>
          <w:szCs w:val="22"/>
        </w:rPr>
      </w:pPr>
    </w:p>
    <w:p w14:paraId="1E93C290" w14:textId="77777777" w:rsidR="001C0F90" w:rsidRPr="00D24940" w:rsidRDefault="001C0F90" w:rsidP="00D24940">
      <w:pPr>
        <w:pStyle w:val="NormalWeb"/>
        <w:spacing w:before="120" w:after="120" w:line="360" w:lineRule="auto"/>
        <w:jc w:val="center"/>
        <w:rPr>
          <w:rFonts w:ascii="BentonSans Book" w:hAnsi="BentonSans Book"/>
          <w:b/>
          <w:color w:val="0070C0"/>
          <w:szCs w:val="22"/>
        </w:rPr>
      </w:pPr>
      <w:r w:rsidRPr="00D24940">
        <w:rPr>
          <w:rFonts w:ascii="BentonSans Book" w:hAnsi="BentonSans Book"/>
          <w:b/>
          <w:color w:val="0070C0"/>
          <w:szCs w:val="22"/>
        </w:rPr>
        <w:t>VISION, MISSION AND VALUES</w:t>
      </w:r>
    </w:p>
    <w:p w14:paraId="259BE24F" w14:textId="77777777" w:rsidR="001C0F90" w:rsidRPr="00A01408" w:rsidRDefault="001C0F90" w:rsidP="00053800">
      <w:pPr>
        <w:pStyle w:val="NormalWeb"/>
        <w:spacing w:before="120" w:after="120" w:line="360" w:lineRule="auto"/>
        <w:jc w:val="center"/>
        <w:rPr>
          <w:rFonts w:ascii="BentonSans Book" w:hAnsi="BentonSans Book"/>
          <w:b/>
          <w:color w:val="000000" w:themeColor="text1"/>
          <w:szCs w:val="22"/>
        </w:rPr>
      </w:pPr>
      <w:r w:rsidRPr="00A01408">
        <w:rPr>
          <w:rFonts w:ascii="BentonSans Book" w:hAnsi="BentonSans Book"/>
          <w:b/>
          <w:color w:val="000000" w:themeColor="text1"/>
          <w:szCs w:val="22"/>
        </w:rPr>
        <w:t>V</w:t>
      </w:r>
      <w:r w:rsidR="00053800" w:rsidRPr="00A01408">
        <w:rPr>
          <w:rFonts w:ascii="BentonSans Book" w:hAnsi="BentonSans Book"/>
          <w:b/>
          <w:color w:val="000000" w:themeColor="text1"/>
          <w:szCs w:val="22"/>
        </w:rPr>
        <w:t>ISION OF THE BANK</w:t>
      </w:r>
    </w:p>
    <w:p w14:paraId="6845BBED" w14:textId="77777777" w:rsidR="001C0F90" w:rsidRPr="00053800" w:rsidRDefault="001C0F90" w:rsidP="002A006E">
      <w:pPr>
        <w:pStyle w:val="NormalWeb"/>
        <w:spacing w:before="120" w:after="120" w:line="360" w:lineRule="auto"/>
        <w:jc w:val="center"/>
        <w:rPr>
          <w:rFonts w:ascii="BentonSans Book" w:hAnsi="BentonSans Book"/>
          <w:sz w:val="22"/>
          <w:szCs w:val="22"/>
        </w:rPr>
      </w:pPr>
      <w:r w:rsidRPr="00053800">
        <w:rPr>
          <w:rFonts w:ascii="BentonSans Book" w:hAnsi="BentonSans Book"/>
          <w:sz w:val="22"/>
          <w:szCs w:val="22"/>
        </w:rPr>
        <w:t>The Vision of the Bank is to become a World-Class Central Bank</w:t>
      </w:r>
    </w:p>
    <w:p w14:paraId="56475B06" w14:textId="77777777" w:rsidR="001C0F90" w:rsidRPr="00A01408" w:rsidRDefault="00053800" w:rsidP="00053800">
      <w:pPr>
        <w:pStyle w:val="NormalWeb"/>
        <w:spacing w:before="120" w:after="120" w:line="360" w:lineRule="auto"/>
        <w:jc w:val="center"/>
        <w:rPr>
          <w:rFonts w:ascii="BentonSans Book" w:hAnsi="BentonSans Book"/>
          <w:b/>
          <w:color w:val="000000" w:themeColor="text1"/>
          <w:szCs w:val="22"/>
        </w:rPr>
      </w:pPr>
      <w:r w:rsidRPr="00A01408">
        <w:rPr>
          <w:rFonts w:ascii="BentonSans Book" w:hAnsi="BentonSans Book"/>
          <w:b/>
          <w:color w:val="000000" w:themeColor="text1"/>
          <w:szCs w:val="22"/>
        </w:rPr>
        <w:t>MISSION OF THE BANK</w:t>
      </w:r>
    </w:p>
    <w:p w14:paraId="0A7BCC8D" w14:textId="77777777" w:rsidR="001C0F90" w:rsidRPr="00053800" w:rsidRDefault="001C0F90" w:rsidP="00053800">
      <w:pPr>
        <w:pStyle w:val="NormalWeb"/>
        <w:spacing w:before="120" w:after="120" w:line="360" w:lineRule="auto"/>
        <w:jc w:val="center"/>
        <w:rPr>
          <w:rFonts w:ascii="BentonSans Book" w:hAnsi="BentonSans Book"/>
          <w:sz w:val="22"/>
          <w:szCs w:val="22"/>
        </w:rPr>
      </w:pPr>
      <w:r w:rsidRPr="00053800">
        <w:rPr>
          <w:rFonts w:ascii="BentonSans Book" w:hAnsi="BentonSans Book"/>
          <w:sz w:val="22"/>
          <w:szCs w:val="22"/>
        </w:rPr>
        <w:t>The mission of the Bank is to ensure price stability and a sound financial system</w:t>
      </w:r>
    </w:p>
    <w:p w14:paraId="4A62E8C1" w14:textId="77777777" w:rsidR="001C0F90" w:rsidRPr="00053800" w:rsidRDefault="00053800" w:rsidP="00053800">
      <w:pPr>
        <w:pStyle w:val="NormalWeb"/>
        <w:spacing w:before="120" w:after="120" w:line="360" w:lineRule="auto"/>
        <w:jc w:val="center"/>
        <w:rPr>
          <w:rFonts w:ascii="BentonSans Book" w:hAnsi="BentonSans Book"/>
          <w:b/>
          <w:color w:val="0070C0"/>
          <w:szCs w:val="22"/>
        </w:rPr>
      </w:pPr>
      <w:r w:rsidRPr="00053800">
        <w:rPr>
          <w:rFonts w:ascii="BentonSans Book" w:hAnsi="BentonSans Book"/>
          <w:b/>
          <w:color w:val="0070C0"/>
          <w:szCs w:val="22"/>
        </w:rPr>
        <w:t>THE BANK’S CORE VALUES</w:t>
      </w:r>
    </w:p>
    <w:p w14:paraId="4F882268" w14:textId="77777777" w:rsidR="001C0F90" w:rsidRPr="00A01408" w:rsidRDefault="00053800" w:rsidP="002A006E">
      <w:pPr>
        <w:pStyle w:val="NormalWeb"/>
        <w:spacing w:before="120" w:after="120" w:line="360" w:lineRule="auto"/>
        <w:jc w:val="center"/>
        <w:rPr>
          <w:rFonts w:ascii="BentonSans Book" w:hAnsi="BentonSans Book"/>
          <w:b/>
          <w:color w:val="000000" w:themeColor="text1"/>
          <w:szCs w:val="22"/>
        </w:rPr>
      </w:pPr>
      <w:r w:rsidRPr="00A01408">
        <w:rPr>
          <w:rFonts w:ascii="BentonSans Book" w:hAnsi="BentonSans Book"/>
          <w:b/>
          <w:color w:val="000000" w:themeColor="text1"/>
          <w:szCs w:val="22"/>
        </w:rPr>
        <w:t>INTEGRITY</w:t>
      </w:r>
    </w:p>
    <w:p w14:paraId="349CD802" w14:textId="77777777" w:rsidR="001C0F90" w:rsidRPr="00053800" w:rsidRDefault="001C0F90" w:rsidP="002A006E">
      <w:pPr>
        <w:pStyle w:val="NormalWeb"/>
        <w:spacing w:before="120" w:after="120" w:line="360" w:lineRule="auto"/>
        <w:jc w:val="center"/>
        <w:rPr>
          <w:rFonts w:ascii="BentonSans Book" w:hAnsi="BentonSans Book"/>
          <w:sz w:val="22"/>
          <w:szCs w:val="22"/>
        </w:rPr>
      </w:pPr>
      <w:r w:rsidRPr="00053800">
        <w:rPr>
          <w:rFonts w:ascii="BentonSans Book" w:hAnsi="BentonSans Book"/>
          <w:sz w:val="22"/>
          <w:szCs w:val="22"/>
        </w:rPr>
        <w:t>We uphold high moral, ethical and professional standards for our people, systems and data</w:t>
      </w:r>
    </w:p>
    <w:p w14:paraId="0017919B" w14:textId="77777777" w:rsidR="001C0F90" w:rsidRPr="00A01408" w:rsidRDefault="00053800" w:rsidP="00053800">
      <w:pPr>
        <w:pStyle w:val="NormalWeb"/>
        <w:spacing w:before="120" w:after="120" w:line="360" w:lineRule="auto"/>
        <w:jc w:val="center"/>
        <w:rPr>
          <w:rFonts w:ascii="BentonSans Book" w:hAnsi="BentonSans Book"/>
          <w:b/>
          <w:color w:val="000000" w:themeColor="text1"/>
          <w:szCs w:val="22"/>
        </w:rPr>
      </w:pPr>
      <w:r w:rsidRPr="00A01408">
        <w:rPr>
          <w:rFonts w:ascii="BentonSans Book" w:hAnsi="BentonSans Book"/>
          <w:b/>
          <w:color w:val="000000" w:themeColor="text1"/>
          <w:szCs w:val="22"/>
        </w:rPr>
        <w:t>ACCOUNTABILITY</w:t>
      </w:r>
    </w:p>
    <w:p w14:paraId="2339A8B9" w14:textId="77777777" w:rsidR="001C0F90" w:rsidRPr="00053800" w:rsidRDefault="001C0F90" w:rsidP="002A006E">
      <w:pPr>
        <w:pStyle w:val="NormalWeb"/>
        <w:spacing w:before="120" w:after="120" w:line="360" w:lineRule="auto"/>
        <w:jc w:val="center"/>
        <w:rPr>
          <w:rFonts w:ascii="BentonSans Book" w:hAnsi="BentonSans Book"/>
          <w:sz w:val="22"/>
          <w:szCs w:val="22"/>
        </w:rPr>
      </w:pPr>
      <w:r w:rsidRPr="00053800">
        <w:rPr>
          <w:rFonts w:ascii="BentonSans Book" w:hAnsi="BentonSans Book"/>
          <w:sz w:val="22"/>
          <w:szCs w:val="22"/>
        </w:rPr>
        <w:t xml:space="preserve">We are results-focused and transparent, and we reward according to performance </w:t>
      </w:r>
    </w:p>
    <w:p w14:paraId="760A8AA3" w14:textId="77777777" w:rsidR="001C0F90" w:rsidRPr="00A01408" w:rsidRDefault="00053800" w:rsidP="00053800">
      <w:pPr>
        <w:pStyle w:val="NormalWeb"/>
        <w:spacing w:before="120" w:after="120" w:line="360" w:lineRule="auto"/>
        <w:jc w:val="center"/>
        <w:rPr>
          <w:rFonts w:ascii="BentonSans Book" w:hAnsi="BentonSans Book"/>
          <w:b/>
          <w:color w:val="000000" w:themeColor="text1"/>
          <w:szCs w:val="22"/>
        </w:rPr>
      </w:pPr>
      <w:r w:rsidRPr="00A01408">
        <w:rPr>
          <w:rFonts w:ascii="BentonSans Book" w:hAnsi="BentonSans Book"/>
          <w:b/>
          <w:color w:val="000000" w:themeColor="text1"/>
          <w:szCs w:val="22"/>
        </w:rPr>
        <w:t xml:space="preserve">MUTUAL-RESPECT AND </w:t>
      </w:r>
      <w:r w:rsidR="00F22446" w:rsidRPr="00A01408">
        <w:rPr>
          <w:rFonts w:ascii="BentonSans Book" w:hAnsi="BentonSans Book"/>
          <w:b/>
          <w:color w:val="000000" w:themeColor="text1"/>
          <w:szCs w:val="22"/>
        </w:rPr>
        <w:t>TEAMWORK</w:t>
      </w:r>
    </w:p>
    <w:p w14:paraId="0D7576FE" w14:textId="77777777" w:rsidR="001C0F90" w:rsidRPr="00053800" w:rsidRDefault="001C0F90" w:rsidP="002A006E">
      <w:pPr>
        <w:pStyle w:val="NormalWeb"/>
        <w:spacing w:before="120" w:after="120" w:line="360" w:lineRule="auto"/>
        <w:jc w:val="center"/>
        <w:rPr>
          <w:rFonts w:ascii="BentonSans Book" w:hAnsi="BentonSans Book"/>
        </w:rPr>
      </w:pPr>
      <w:r w:rsidRPr="00053800">
        <w:rPr>
          <w:rFonts w:ascii="BentonSans Book" w:hAnsi="BentonSans Book"/>
          <w:sz w:val="22"/>
          <w:szCs w:val="22"/>
        </w:rPr>
        <w:t>We keep ourselves in high spirit, committed to ea</w:t>
      </w:r>
      <w:r w:rsidRPr="00053800">
        <w:rPr>
          <w:rFonts w:ascii="BentonSans Book" w:hAnsi="BentonSans Book"/>
        </w:rPr>
        <w:t>ch other for success</w:t>
      </w:r>
    </w:p>
    <w:p w14:paraId="6E62B7C7" w14:textId="77777777" w:rsidR="001C0F90" w:rsidRPr="00A01408" w:rsidRDefault="00053800" w:rsidP="00053800">
      <w:pPr>
        <w:pStyle w:val="NormalWeb"/>
        <w:spacing w:before="120" w:after="120" w:line="360" w:lineRule="auto"/>
        <w:jc w:val="center"/>
        <w:rPr>
          <w:rFonts w:ascii="BentonSans Book" w:hAnsi="BentonSans Book"/>
          <w:b/>
          <w:color w:val="000000" w:themeColor="text1"/>
        </w:rPr>
      </w:pPr>
      <w:r w:rsidRPr="00A01408">
        <w:rPr>
          <w:rFonts w:ascii="BentonSans Book" w:hAnsi="BentonSans Book"/>
          <w:b/>
          <w:color w:val="000000" w:themeColor="text1"/>
        </w:rPr>
        <w:t>EXCELLENCE</w:t>
      </w:r>
    </w:p>
    <w:p w14:paraId="5C312E66" w14:textId="77777777" w:rsidR="001C0F90" w:rsidRPr="00053800" w:rsidRDefault="001C0F90" w:rsidP="002A006E">
      <w:pPr>
        <w:pStyle w:val="NormalWeb"/>
        <w:spacing w:before="120" w:after="120" w:line="360" w:lineRule="auto"/>
        <w:jc w:val="center"/>
        <w:rPr>
          <w:rFonts w:ascii="BentonSans Book" w:hAnsi="BentonSans Book"/>
          <w:sz w:val="22"/>
          <w:szCs w:val="22"/>
        </w:rPr>
      </w:pPr>
      <w:r w:rsidRPr="00053800">
        <w:rPr>
          <w:rFonts w:ascii="BentonSans Book" w:hAnsi="BentonSans Book"/>
          <w:sz w:val="22"/>
          <w:szCs w:val="22"/>
        </w:rPr>
        <w:t>We passionately strive to deliver quality services in a timely and cost effective manner</w:t>
      </w:r>
    </w:p>
    <w:p w14:paraId="65CDE87A" w14:textId="77777777" w:rsidR="001C0F90" w:rsidRPr="002A006E" w:rsidRDefault="001C0F90" w:rsidP="002A006E">
      <w:pPr>
        <w:pStyle w:val="NormalWeb"/>
        <w:spacing w:before="120" w:after="120" w:line="360" w:lineRule="auto"/>
        <w:jc w:val="center"/>
        <w:rPr>
          <w:rFonts w:ascii="BentonSans Book" w:hAnsi="BentonSans Book"/>
          <w:b/>
          <w:color w:val="0070C0"/>
          <w:sz w:val="32"/>
          <w:szCs w:val="22"/>
        </w:rPr>
      </w:pPr>
    </w:p>
    <w:p w14:paraId="275C7FF7" w14:textId="77777777" w:rsidR="007D77D4" w:rsidRPr="002A006E" w:rsidRDefault="007D77D4" w:rsidP="002A006E">
      <w:pPr>
        <w:pStyle w:val="NormalWeb"/>
        <w:spacing w:before="120" w:after="120" w:line="360" w:lineRule="auto"/>
        <w:jc w:val="center"/>
        <w:rPr>
          <w:rFonts w:ascii="BentonSans Book" w:hAnsi="BentonSans Book"/>
          <w:b/>
          <w:color w:val="0070C0"/>
          <w:sz w:val="32"/>
          <w:szCs w:val="22"/>
        </w:rPr>
      </w:pPr>
    </w:p>
    <w:p w14:paraId="22A5F2EF" w14:textId="77777777" w:rsidR="00E35D50" w:rsidRPr="002A006E" w:rsidRDefault="00E35D50" w:rsidP="002A006E">
      <w:pPr>
        <w:pStyle w:val="NormalWeb"/>
        <w:spacing w:before="120" w:after="120" w:line="360" w:lineRule="auto"/>
        <w:jc w:val="center"/>
        <w:rPr>
          <w:rFonts w:ascii="BentonSans Book" w:hAnsi="BentonSans Book"/>
          <w:b/>
          <w:color w:val="0070C0"/>
          <w:sz w:val="32"/>
          <w:szCs w:val="22"/>
        </w:rPr>
        <w:sectPr w:rsidR="00E35D50" w:rsidRPr="002A006E" w:rsidSect="00A9267E">
          <w:footerReference w:type="default" r:id="rId11"/>
          <w:pgSz w:w="12240" w:h="15840"/>
          <w:pgMar w:top="1260" w:right="1260" w:bottom="1350" w:left="1440" w:header="720" w:footer="720" w:gutter="0"/>
          <w:pgBorders w:offsetFrom="page">
            <w:top w:val="double" w:sz="4" w:space="24" w:color="BF8F00" w:themeColor="accent4" w:themeShade="BF"/>
            <w:left w:val="double" w:sz="4" w:space="24" w:color="BF8F00" w:themeColor="accent4" w:themeShade="BF"/>
            <w:bottom w:val="double" w:sz="4" w:space="24" w:color="BF8F00" w:themeColor="accent4" w:themeShade="BF"/>
            <w:right w:val="double" w:sz="4" w:space="24" w:color="BF8F00" w:themeColor="accent4" w:themeShade="BF"/>
          </w:pgBorders>
          <w:cols w:space="720"/>
          <w:docGrid w:linePitch="360"/>
        </w:sectPr>
      </w:pPr>
    </w:p>
    <w:p w14:paraId="53658A3F" w14:textId="77777777" w:rsidR="00384385" w:rsidRPr="009D1113" w:rsidRDefault="00384385" w:rsidP="00053800">
      <w:pPr>
        <w:pStyle w:val="NormalWeb"/>
        <w:spacing w:before="120" w:after="120" w:line="360" w:lineRule="auto"/>
        <w:rPr>
          <w:rFonts w:ascii="BentonSans Book" w:hAnsi="BentonSans Book"/>
          <w:b/>
          <w:sz w:val="22"/>
          <w:szCs w:val="22"/>
        </w:rPr>
      </w:pPr>
      <w:r w:rsidRPr="009D1113">
        <w:rPr>
          <w:rFonts w:ascii="BentonSans Book" w:hAnsi="BentonSans Book"/>
          <w:b/>
          <w:sz w:val="22"/>
          <w:szCs w:val="22"/>
        </w:rPr>
        <w:lastRenderedPageBreak/>
        <w:t>1. Background</w:t>
      </w:r>
    </w:p>
    <w:p w14:paraId="79758167" w14:textId="48C30431" w:rsidR="00384385" w:rsidRPr="00053800" w:rsidRDefault="00384385" w:rsidP="00053800">
      <w:pPr>
        <w:pStyle w:val="NormalWeb"/>
        <w:spacing w:before="120" w:after="120" w:line="360" w:lineRule="auto"/>
        <w:jc w:val="both"/>
        <w:rPr>
          <w:rFonts w:ascii="BentonSans Book" w:hAnsi="BentonSans Book"/>
          <w:sz w:val="22"/>
          <w:szCs w:val="22"/>
        </w:rPr>
      </w:pPr>
      <w:r w:rsidRPr="00053800">
        <w:rPr>
          <w:rFonts w:ascii="BentonSans Book" w:hAnsi="BentonSans Book"/>
          <w:sz w:val="22"/>
          <w:szCs w:val="22"/>
        </w:rPr>
        <w:t>The general mission of the National Bank of Rwanda (</w:t>
      </w:r>
      <w:r w:rsidR="00A01408">
        <w:rPr>
          <w:rFonts w:ascii="BentonSans Book" w:hAnsi="BentonSans Book"/>
          <w:sz w:val="22"/>
          <w:szCs w:val="22"/>
        </w:rPr>
        <w:t>NBR</w:t>
      </w:r>
      <w:r w:rsidRPr="00053800">
        <w:rPr>
          <w:rFonts w:ascii="BentonSans Book" w:hAnsi="BentonSans Book"/>
          <w:sz w:val="22"/>
          <w:szCs w:val="22"/>
        </w:rPr>
        <w:t xml:space="preserve">) is to ensure price stability and sound financial system. To achieve this, </w:t>
      </w:r>
      <w:r w:rsidR="00A01408">
        <w:rPr>
          <w:rFonts w:ascii="BentonSans Book" w:hAnsi="BentonSans Book"/>
          <w:sz w:val="22"/>
          <w:szCs w:val="22"/>
        </w:rPr>
        <w:t xml:space="preserve">the </w:t>
      </w:r>
      <w:r w:rsidR="00E56308">
        <w:rPr>
          <w:rFonts w:ascii="BentonSans Book" w:hAnsi="BentonSans Book"/>
          <w:sz w:val="22"/>
          <w:szCs w:val="22"/>
        </w:rPr>
        <w:t xml:space="preserve">NBR </w:t>
      </w:r>
      <w:r w:rsidRPr="00053800">
        <w:rPr>
          <w:rFonts w:ascii="BentonSans Book" w:hAnsi="BentonSans Book"/>
          <w:sz w:val="22"/>
          <w:szCs w:val="22"/>
        </w:rPr>
        <w:t xml:space="preserve">needs among others, to understand trends and developments in credit conditions. The </w:t>
      </w:r>
      <w:r w:rsidR="00A01408">
        <w:rPr>
          <w:rFonts w:ascii="BentonSans Book" w:hAnsi="BentonSans Book"/>
          <w:sz w:val="22"/>
          <w:szCs w:val="22"/>
        </w:rPr>
        <w:t>NBR</w:t>
      </w:r>
      <w:r w:rsidRPr="00053800">
        <w:rPr>
          <w:rFonts w:ascii="BentonSans Book" w:hAnsi="BentonSans Book"/>
          <w:sz w:val="22"/>
          <w:szCs w:val="22"/>
        </w:rPr>
        <w:t xml:space="preserve"> lending survey is an input to this work. The banking sector lending survey allows </w:t>
      </w:r>
      <w:r w:rsidR="00A01408">
        <w:rPr>
          <w:rFonts w:ascii="BentonSans Book" w:hAnsi="BentonSans Book"/>
          <w:sz w:val="22"/>
          <w:szCs w:val="22"/>
        </w:rPr>
        <w:t>the NBR</w:t>
      </w:r>
      <w:r w:rsidRPr="00053800">
        <w:rPr>
          <w:rFonts w:ascii="BentonSans Book" w:hAnsi="BentonSans Book"/>
          <w:sz w:val="22"/>
          <w:szCs w:val="22"/>
        </w:rPr>
        <w:t xml:space="preserve"> and other users to obtain valuable information about the developments in the credit market beyond </w:t>
      </w:r>
      <w:r w:rsidR="00F22446">
        <w:rPr>
          <w:rFonts w:ascii="BentonSans Book" w:hAnsi="BentonSans Book"/>
          <w:sz w:val="22"/>
          <w:szCs w:val="22"/>
        </w:rPr>
        <w:t xml:space="preserve">the </w:t>
      </w:r>
      <w:r w:rsidRPr="00053800">
        <w:rPr>
          <w:rFonts w:ascii="BentonSans Book" w:hAnsi="BentonSans Book"/>
          <w:sz w:val="22"/>
          <w:szCs w:val="22"/>
        </w:rPr>
        <w:t>regular</w:t>
      </w:r>
      <w:r w:rsidR="00F22446">
        <w:rPr>
          <w:rFonts w:ascii="BentonSans Book" w:hAnsi="BentonSans Book"/>
          <w:sz w:val="22"/>
          <w:szCs w:val="22"/>
        </w:rPr>
        <w:t>ly</w:t>
      </w:r>
      <w:r w:rsidRPr="00053800">
        <w:rPr>
          <w:rFonts w:ascii="BentonSans Book" w:hAnsi="BentonSans Book"/>
          <w:sz w:val="22"/>
          <w:szCs w:val="22"/>
        </w:rPr>
        <w:t xml:space="preserve"> report</w:t>
      </w:r>
      <w:r w:rsidR="00F22446">
        <w:rPr>
          <w:rFonts w:ascii="BentonSans Book" w:hAnsi="BentonSans Book"/>
          <w:sz w:val="22"/>
          <w:szCs w:val="22"/>
        </w:rPr>
        <w:t>ed</w:t>
      </w:r>
      <w:r w:rsidRPr="00053800">
        <w:rPr>
          <w:rFonts w:ascii="BentonSans Book" w:hAnsi="BentonSans Book"/>
          <w:sz w:val="22"/>
          <w:szCs w:val="22"/>
        </w:rPr>
        <w:t xml:space="preserve"> data.</w:t>
      </w:r>
    </w:p>
    <w:p w14:paraId="2BF2498D" w14:textId="4D681B5C" w:rsidR="00384385" w:rsidRPr="00053800" w:rsidRDefault="00384385" w:rsidP="00053800">
      <w:pPr>
        <w:pStyle w:val="NormalWeb"/>
        <w:spacing w:before="120" w:after="120" w:line="360" w:lineRule="auto"/>
        <w:jc w:val="both"/>
        <w:rPr>
          <w:rFonts w:ascii="BentonSans Book" w:hAnsi="BentonSans Book"/>
          <w:sz w:val="32"/>
          <w:szCs w:val="22"/>
        </w:rPr>
      </w:pPr>
      <w:r w:rsidRPr="00053800">
        <w:rPr>
          <w:rFonts w:ascii="BentonSans Book" w:hAnsi="BentonSans Book"/>
          <w:sz w:val="22"/>
          <w:szCs w:val="22"/>
        </w:rPr>
        <w:t xml:space="preserve">The lending survey conducted by </w:t>
      </w:r>
      <w:r w:rsidR="00E56308">
        <w:rPr>
          <w:rFonts w:ascii="BentonSans Book" w:hAnsi="BentonSans Book"/>
          <w:sz w:val="22"/>
          <w:szCs w:val="22"/>
        </w:rPr>
        <w:t>the NBR</w:t>
      </w:r>
      <w:r w:rsidRPr="00053800">
        <w:rPr>
          <w:rFonts w:ascii="BentonSans Book" w:hAnsi="BentonSans Book"/>
          <w:sz w:val="22"/>
          <w:szCs w:val="22"/>
        </w:rPr>
        <w:t xml:space="preserve"> captures past and prospective developments in the credit market. The main objectives of the survey are to: i)  understand the drivers and constraints influencing credit growth, ii) enhance the understanding of the lending behavior and loan financing conditions among banks, and iii)  get an insight into the loan supply and demand factors from the banks’ perspective</w:t>
      </w:r>
      <w:r w:rsidRPr="00053800">
        <w:rPr>
          <w:rFonts w:ascii="BentonSans Book" w:hAnsi="BentonSans Book"/>
          <w:sz w:val="32"/>
          <w:szCs w:val="22"/>
        </w:rPr>
        <w:t xml:space="preserve">. </w:t>
      </w:r>
    </w:p>
    <w:p w14:paraId="08FC66E4" w14:textId="77777777" w:rsidR="00384385" w:rsidRPr="009D1113" w:rsidRDefault="00384385" w:rsidP="00053800">
      <w:pPr>
        <w:pStyle w:val="NormalWeb"/>
        <w:spacing w:before="120" w:after="120" w:line="360" w:lineRule="auto"/>
        <w:rPr>
          <w:rFonts w:ascii="BentonSans Book" w:hAnsi="BentonSans Book"/>
          <w:b/>
          <w:sz w:val="22"/>
          <w:szCs w:val="22"/>
        </w:rPr>
      </w:pPr>
      <w:r w:rsidRPr="009D1113">
        <w:rPr>
          <w:rFonts w:ascii="BentonSans Book" w:hAnsi="BentonSans Book"/>
          <w:b/>
          <w:sz w:val="22"/>
          <w:szCs w:val="22"/>
        </w:rPr>
        <w:t>2. Methodology</w:t>
      </w:r>
    </w:p>
    <w:p w14:paraId="5603E2F0" w14:textId="05D0AD2E" w:rsidR="00384385" w:rsidRPr="00053800" w:rsidRDefault="00053800" w:rsidP="00053800">
      <w:pPr>
        <w:pStyle w:val="NormalWeb"/>
        <w:spacing w:before="120" w:after="120" w:line="360" w:lineRule="auto"/>
        <w:jc w:val="both"/>
        <w:rPr>
          <w:rFonts w:ascii="BentonSans Book" w:hAnsi="BentonSans Book"/>
          <w:sz w:val="22"/>
          <w:szCs w:val="22"/>
        </w:rPr>
      </w:pPr>
      <w:r>
        <w:rPr>
          <w:rFonts w:ascii="BentonSans Book" w:hAnsi="BentonSans Book"/>
          <w:sz w:val="22"/>
          <w:szCs w:val="22"/>
        </w:rPr>
        <w:t xml:space="preserve">The lending survey is </w:t>
      </w:r>
      <w:r w:rsidR="00384385" w:rsidRPr="00053800">
        <w:rPr>
          <w:rFonts w:ascii="BentonSans Book" w:hAnsi="BentonSans Book"/>
          <w:sz w:val="22"/>
          <w:szCs w:val="22"/>
        </w:rPr>
        <w:t xml:space="preserve">conducted through a structured questionnaire that enables </w:t>
      </w:r>
      <w:r w:rsidR="00E56308">
        <w:rPr>
          <w:rFonts w:ascii="BentonSans Book" w:hAnsi="BentonSans Book"/>
          <w:sz w:val="22"/>
          <w:szCs w:val="22"/>
        </w:rPr>
        <w:t xml:space="preserve">the NBR </w:t>
      </w:r>
      <w:r w:rsidR="00384385" w:rsidRPr="00053800">
        <w:rPr>
          <w:rFonts w:ascii="BentonSans Book" w:hAnsi="BentonSans Book"/>
          <w:sz w:val="22"/>
          <w:szCs w:val="22"/>
        </w:rPr>
        <w:t>to obtain quantitative and qualitative information directly from banks operating on Rwandan credit market. The questionnaire focuses on both the credit supply side (credit standards and terms and conditions for approving loans as stipulated by banks) and the credit demand side (demand for loans among households and enterprises as perceived by banks)</w:t>
      </w:r>
      <w:r w:rsidR="0081385D">
        <w:rPr>
          <w:rFonts w:ascii="BentonSans Book" w:hAnsi="BentonSans Book"/>
          <w:sz w:val="22"/>
          <w:szCs w:val="22"/>
        </w:rPr>
        <w:t xml:space="preserve">, and entails  the </w:t>
      </w:r>
      <w:r w:rsidR="00384385" w:rsidRPr="00053800">
        <w:rPr>
          <w:rFonts w:ascii="BentonSans Book" w:hAnsi="BentonSans Book"/>
          <w:sz w:val="22"/>
          <w:szCs w:val="22"/>
        </w:rPr>
        <w:t xml:space="preserve"> most significant factors underlying changes in supply and demand. </w:t>
      </w:r>
    </w:p>
    <w:p w14:paraId="6E25EE2C" w14:textId="7C16C08E" w:rsidR="00384385" w:rsidRDefault="00384385" w:rsidP="00053800">
      <w:pPr>
        <w:pStyle w:val="NormalWeb"/>
        <w:spacing w:before="120" w:after="120" w:line="360" w:lineRule="auto"/>
        <w:jc w:val="both"/>
        <w:rPr>
          <w:rFonts w:ascii="BentonSans Book" w:hAnsi="BentonSans Book"/>
          <w:sz w:val="22"/>
          <w:szCs w:val="22"/>
        </w:rPr>
      </w:pPr>
      <w:r w:rsidRPr="00053800">
        <w:rPr>
          <w:rFonts w:ascii="BentonSans Book" w:hAnsi="BentonSans Book"/>
          <w:sz w:val="22"/>
          <w:szCs w:val="22"/>
        </w:rPr>
        <w:t xml:space="preserve">The credit survey covers not only the observed evolution of credit standards and credit demand in the previous periods, but also the expected developments in </w:t>
      </w:r>
      <w:r w:rsidR="00F22446">
        <w:rPr>
          <w:rFonts w:ascii="BentonSans Book" w:hAnsi="BentonSans Book"/>
          <w:sz w:val="22"/>
          <w:szCs w:val="22"/>
        </w:rPr>
        <w:t xml:space="preserve">the </w:t>
      </w:r>
      <w:r w:rsidRPr="00053800">
        <w:rPr>
          <w:rFonts w:ascii="BentonSans Book" w:hAnsi="BentonSans Book"/>
          <w:sz w:val="22"/>
          <w:szCs w:val="22"/>
        </w:rPr>
        <w:t xml:space="preserve">near future. The questionnaire is addressed to senior credit officers of banks to indicate their banks’ position in terms of demand for credit, </w:t>
      </w:r>
      <w:r w:rsidR="0081385D">
        <w:rPr>
          <w:rFonts w:ascii="BentonSans Book" w:hAnsi="BentonSans Book"/>
          <w:sz w:val="22"/>
          <w:szCs w:val="22"/>
        </w:rPr>
        <w:t xml:space="preserve">approval of credit, </w:t>
      </w:r>
      <w:r w:rsidRPr="00053800">
        <w:rPr>
          <w:rFonts w:ascii="BentonSans Book" w:hAnsi="BentonSans Book"/>
          <w:sz w:val="22"/>
          <w:szCs w:val="22"/>
        </w:rPr>
        <w:t>credit standards and terms and conditions. In line with the aforementioned objectives, in this particular survey banks were asked about trends and developments in credit conditi</w:t>
      </w:r>
      <w:r w:rsidR="00C57894">
        <w:rPr>
          <w:rFonts w:ascii="BentonSans Book" w:hAnsi="BentonSans Book"/>
          <w:sz w:val="22"/>
          <w:szCs w:val="22"/>
        </w:rPr>
        <w:t xml:space="preserve">ons during the year </w:t>
      </w:r>
      <w:r w:rsidRPr="00053800">
        <w:rPr>
          <w:rFonts w:ascii="BentonSans Book" w:hAnsi="BentonSans Book"/>
          <w:sz w:val="22"/>
          <w:szCs w:val="22"/>
        </w:rPr>
        <w:t>2018 re</w:t>
      </w:r>
      <w:r w:rsidR="00C57894">
        <w:rPr>
          <w:rFonts w:ascii="BentonSans Book" w:hAnsi="BentonSans Book"/>
          <w:sz w:val="22"/>
          <w:szCs w:val="22"/>
        </w:rPr>
        <w:t xml:space="preserve">lative to the </w:t>
      </w:r>
      <w:r w:rsidRPr="00053800">
        <w:rPr>
          <w:rFonts w:ascii="BentonSans Book" w:hAnsi="BentonSans Book"/>
          <w:sz w:val="22"/>
          <w:szCs w:val="22"/>
        </w:rPr>
        <w:t>2017, and prospects for the subsequent</w:t>
      </w:r>
      <w:r w:rsidR="00C57894">
        <w:rPr>
          <w:rFonts w:ascii="BentonSans Book" w:hAnsi="BentonSans Book"/>
          <w:sz w:val="22"/>
          <w:szCs w:val="22"/>
        </w:rPr>
        <w:t xml:space="preserve"> quarter ending March 2019</w:t>
      </w:r>
      <w:r w:rsidRPr="00053800">
        <w:rPr>
          <w:rFonts w:ascii="BentonSans Book" w:hAnsi="BentonSans Book"/>
          <w:sz w:val="22"/>
          <w:szCs w:val="22"/>
        </w:rPr>
        <w:t>. This repor</w:t>
      </w:r>
      <w:r w:rsidR="00C57894">
        <w:rPr>
          <w:rFonts w:ascii="BentonSans Book" w:hAnsi="BentonSans Book"/>
          <w:sz w:val="22"/>
          <w:szCs w:val="22"/>
        </w:rPr>
        <w:t>t presents the results of the Q4</w:t>
      </w:r>
      <w:r w:rsidRPr="00053800">
        <w:rPr>
          <w:rFonts w:ascii="BentonSans Book" w:hAnsi="BentonSans Book"/>
          <w:sz w:val="22"/>
          <w:szCs w:val="22"/>
        </w:rPr>
        <w:t xml:space="preserve"> 2018 survey conducted from </w:t>
      </w:r>
      <w:r w:rsidR="00C57894">
        <w:rPr>
          <w:rFonts w:ascii="BentonSans Book" w:hAnsi="BentonSans Book"/>
          <w:sz w:val="22"/>
          <w:szCs w:val="22"/>
        </w:rPr>
        <w:t>January 14 to 17, 2019</w:t>
      </w:r>
      <w:r w:rsidRPr="00053800">
        <w:rPr>
          <w:rFonts w:ascii="BentonSans Book" w:hAnsi="BentonSans Book"/>
          <w:sz w:val="22"/>
          <w:szCs w:val="22"/>
        </w:rPr>
        <w:t xml:space="preserve">. The qualitative information contained in the survey are based on lenders’ own responses to the survey, and do not necessarily reflect the </w:t>
      </w:r>
      <w:r w:rsidR="0081385D">
        <w:rPr>
          <w:rFonts w:ascii="BentonSans Book" w:hAnsi="BentonSans Book"/>
          <w:sz w:val="22"/>
          <w:szCs w:val="22"/>
        </w:rPr>
        <w:t>NBR</w:t>
      </w:r>
      <w:r w:rsidRPr="00053800">
        <w:rPr>
          <w:rFonts w:ascii="BentonSans Book" w:hAnsi="BentonSans Book"/>
          <w:sz w:val="22"/>
          <w:szCs w:val="22"/>
        </w:rPr>
        <w:t xml:space="preserve">’s views on credit conditions. </w:t>
      </w:r>
    </w:p>
    <w:p w14:paraId="1543C957" w14:textId="77777777" w:rsidR="00DB39ED" w:rsidRDefault="00DB39ED" w:rsidP="00053800">
      <w:pPr>
        <w:pStyle w:val="NormalWeb"/>
        <w:spacing w:before="120" w:after="120" w:line="360" w:lineRule="auto"/>
        <w:jc w:val="both"/>
        <w:rPr>
          <w:rFonts w:ascii="BentonSans Book" w:hAnsi="BentonSans Book"/>
          <w:sz w:val="22"/>
          <w:szCs w:val="22"/>
        </w:rPr>
      </w:pPr>
    </w:p>
    <w:p w14:paraId="402EF7C9" w14:textId="77777777" w:rsidR="00053800" w:rsidRDefault="00053800" w:rsidP="00053800">
      <w:pPr>
        <w:pStyle w:val="NormalWeb"/>
        <w:spacing w:before="120" w:after="120" w:line="360" w:lineRule="auto"/>
        <w:jc w:val="both"/>
        <w:rPr>
          <w:rFonts w:ascii="BentonSans Book" w:hAnsi="BentonSans Book"/>
          <w:sz w:val="22"/>
          <w:szCs w:val="22"/>
        </w:rPr>
      </w:pPr>
    </w:p>
    <w:p w14:paraId="64E49FC7" w14:textId="77777777" w:rsidR="00053800" w:rsidRDefault="00053800" w:rsidP="00053800">
      <w:pPr>
        <w:pStyle w:val="NormalWeb"/>
        <w:spacing w:before="120" w:after="120" w:line="360" w:lineRule="auto"/>
        <w:jc w:val="both"/>
        <w:rPr>
          <w:rFonts w:ascii="BentonSans Book" w:hAnsi="BentonSans Book"/>
          <w:sz w:val="22"/>
          <w:szCs w:val="22"/>
        </w:rPr>
      </w:pPr>
    </w:p>
    <w:p w14:paraId="1598A88F" w14:textId="77777777" w:rsidR="00E75BAA" w:rsidRPr="009D1113" w:rsidRDefault="00E75BAA" w:rsidP="00053800">
      <w:pPr>
        <w:pStyle w:val="NormalWeb"/>
        <w:spacing w:before="120" w:after="120" w:line="360" w:lineRule="auto"/>
        <w:rPr>
          <w:rFonts w:ascii="BentonSans Book" w:hAnsi="BentonSans Book"/>
          <w:b/>
          <w:sz w:val="22"/>
          <w:szCs w:val="22"/>
        </w:rPr>
      </w:pPr>
      <w:r w:rsidRPr="009D1113">
        <w:rPr>
          <w:rFonts w:ascii="BentonSans Book" w:hAnsi="BentonSans Book"/>
          <w:b/>
          <w:sz w:val="22"/>
          <w:szCs w:val="22"/>
        </w:rPr>
        <w:lastRenderedPageBreak/>
        <w:t>3. Findings</w:t>
      </w:r>
    </w:p>
    <w:p w14:paraId="1C87326B" w14:textId="77777777" w:rsidR="00E75BAA" w:rsidRPr="009D1113" w:rsidRDefault="00E75BAA" w:rsidP="00053800">
      <w:pPr>
        <w:pStyle w:val="NormalWeb"/>
        <w:spacing w:before="120" w:after="120" w:line="360" w:lineRule="auto"/>
        <w:rPr>
          <w:rFonts w:ascii="BentonSans Book" w:hAnsi="BentonSans Book"/>
          <w:b/>
          <w:sz w:val="22"/>
          <w:szCs w:val="22"/>
        </w:rPr>
      </w:pPr>
      <w:r w:rsidRPr="009D1113">
        <w:rPr>
          <w:rFonts w:ascii="BentonSans Book" w:hAnsi="BentonSans Book"/>
          <w:b/>
          <w:sz w:val="22"/>
          <w:szCs w:val="22"/>
        </w:rPr>
        <w:t>The Demand for Credit</w:t>
      </w:r>
    </w:p>
    <w:p w14:paraId="09A5FCC1" w14:textId="77777777" w:rsidR="00276798" w:rsidRDefault="00361E52" w:rsidP="00053800">
      <w:pPr>
        <w:pStyle w:val="NormalWeb"/>
        <w:spacing w:before="120" w:after="120" w:line="360" w:lineRule="auto"/>
        <w:jc w:val="both"/>
        <w:rPr>
          <w:rFonts w:ascii="BentonSans Book" w:hAnsi="BentonSans Book"/>
          <w:sz w:val="22"/>
          <w:szCs w:val="22"/>
        </w:rPr>
      </w:pPr>
      <w:r>
        <w:rPr>
          <w:rFonts w:ascii="BentonSans Book" w:hAnsi="BentonSans Book"/>
          <w:sz w:val="22"/>
          <w:szCs w:val="22"/>
        </w:rPr>
        <w:t>During the year to Decemb</w:t>
      </w:r>
      <w:r w:rsidR="00D97DA9">
        <w:rPr>
          <w:rFonts w:ascii="BentonSans Book" w:hAnsi="BentonSans Book"/>
          <w:sz w:val="22"/>
          <w:szCs w:val="22"/>
        </w:rPr>
        <w:t xml:space="preserve">er 2018, </w:t>
      </w:r>
      <w:r w:rsidR="00E75BAA" w:rsidRPr="00D97DA9">
        <w:rPr>
          <w:rFonts w:ascii="BentonSans Book" w:hAnsi="BentonSans Book"/>
          <w:sz w:val="22"/>
          <w:szCs w:val="22"/>
        </w:rPr>
        <w:t>the demand for credit</w:t>
      </w:r>
      <w:r w:rsidR="00E75BAA" w:rsidRPr="00D97DA9">
        <w:rPr>
          <w:rFonts w:ascii="BentonSans Book" w:hAnsi="BentonSans Book"/>
          <w:sz w:val="22"/>
          <w:szCs w:val="22"/>
          <w:vertAlign w:val="superscript"/>
        </w:rPr>
        <w:footnoteReference w:id="1"/>
      </w:r>
      <w:r w:rsidR="00E75BAA" w:rsidRPr="00D97DA9">
        <w:rPr>
          <w:rFonts w:ascii="BentonSans Book" w:hAnsi="BentonSans Book"/>
          <w:sz w:val="22"/>
          <w:szCs w:val="22"/>
          <w:vertAlign w:val="superscript"/>
        </w:rPr>
        <w:t xml:space="preserve"> </w:t>
      </w:r>
      <w:r w:rsidR="00D97DA9" w:rsidRPr="00D97DA9">
        <w:rPr>
          <w:rFonts w:ascii="BentonSans Book" w:hAnsi="BentonSans Book"/>
          <w:sz w:val="22"/>
          <w:szCs w:val="22"/>
          <w:vertAlign w:val="superscript"/>
        </w:rPr>
        <w:t xml:space="preserve"> </w:t>
      </w:r>
      <w:r w:rsidR="00D97DA9" w:rsidRPr="00D97DA9">
        <w:rPr>
          <w:rFonts w:ascii="BentonSans Book" w:hAnsi="BentonSans Book"/>
          <w:sz w:val="22"/>
          <w:szCs w:val="22"/>
        </w:rPr>
        <w:t xml:space="preserve">decelerated in value but </w:t>
      </w:r>
      <w:r w:rsidR="00D97DA9">
        <w:rPr>
          <w:rFonts w:ascii="BentonSans Book" w:hAnsi="BentonSans Book"/>
          <w:sz w:val="22"/>
          <w:szCs w:val="22"/>
        </w:rPr>
        <w:t>pick</w:t>
      </w:r>
      <w:r w:rsidR="00814974">
        <w:rPr>
          <w:rFonts w:ascii="BentonSans Book" w:hAnsi="BentonSans Book"/>
          <w:sz w:val="22"/>
          <w:szCs w:val="22"/>
        </w:rPr>
        <w:t>ed up</w:t>
      </w:r>
      <w:r w:rsidR="00D97DA9">
        <w:rPr>
          <w:rFonts w:ascii="BentonSans Book" w:hAnsi="BentonSans Book"/>
          <w:sz w:val="22"/>
          <w:szCs w:val="22"/>
        </w:rPr>
        <w:t xml:space="preserve"> in volume.  </w:t>
      </w:r>
      <w:r w:rsidR="00814974">
        <w:rPr>
          <w:rFonts w:ascii="BentonSans Book" w:hAnsi="BentonSans Book"/>
          <w:sz w:val="22"/>
          <w:szCs w:val="22"/>
        </w:rPr>
        <w:t>In value, loan application increased by 3.4 percent (from FRW 1,196 billion in 2017 to FRW 1,237 billion in 2018), lower than 30 percent registered as at end December 2017. However, in terms of volume, t</w:t>
      </w:r>
      <w:r w:rsidR="00276798" w:rsidRPr="00D97DA9">
        <w:rPr>
          <w:rFonts w:ascii="BentonSans Book" w:hAnsi="BentonSans Book"/>
          <w:sz w:val="22"/>
          <w:szCs w:val="22"/>
        </w:rPr>
        <w:t xml:space="preserve">he number of loans applications increased by 18.3 percent (from 318,166 </w:t>
      </w:r>
      <w:r w:rsidR="00814974">
        <w:rPr>
          <w:rFonts w:ascii="BentonSans Book" w:hAnsi="BentonSans Book"/>
          <w:sz w:val="22"/>
          <w:szCs w:val="22"/>
        </w:rPr>
        <w:t xml:space="preserve">in 2017 </w:t>
      </w:r>
      <w:r w:rsidR="00276798" w:rsidRPr="00D97DA9">
        <w:rPr>
          <w:rFonts w:ascii="BentonSans Book" w:hAnsi="BentonSans Book"/>
          <w:sz w:val="22"/>
          <w:szCs w:val="22"/>
        </w:rPr>
        <w:t>to 376,383</w:t>
      </w:r>
      <w:r w:rsidR="00814974">
        <w:rPr>
          <w:rFonts w:ascii="BentonSans Book" w:hAnsi="BentonSans Book"/>
          <w:sz w:val="22"/>
          <w:szCs w:val="22"/>
        </w:rPr>
        <w:t xml:space="preserve"> in 2018)</w:t>
      </w:r>
      <w:r w:rsidR="00276798" w:rsidRPr="00D97DA9">
        <w:rPr>
          <w:rFonts w:ascii="BentonSans Book" w:hAnsi="BentonSans Book"/>
          <w:sz w:val="22"/>
          <w:szCs w:val="22"/>
        </w:rPr>
        <w:t>, more than 13 percent observed</w:t>
      </w:r>
      <w:r w:rsidR="00814974">
        <w:rPr>
          <w:rFonts w:ascii="BentonSans Book" w:hAnsi="BentonSans Book"/>
          <w:sz w:val="22"/>
          <w:szCs w:val="22"/>
        </w:rPr>
        <w:t xml:space="preserve"> during the previous year. </w:t>
      </w:r>
      <w:r w:rsidR="00196E4A">
        <w:rPr>
          <w:rFonts w:ascii="BentonSans Book" w:hAnsi="BentonSans Book"/>
          <w:sz w:val="22"/>
          <w:szCs w:val="22"/>
        </w:rPr>
        <w:t>The high</w:t>
      </w:r>
      <w:r w:rsidR="00814974">
        <w:rPr>
          <w:rFonts w:ascii="BentonSans Book" w:hAnsi="BentonSans Book"/>
          <w:sz w:val="22"/>
          <w:szCs w:val="22"/>
        </w:rPr>
        <w:t>er</w:t>
      </w:r>
      <w:r w:rsidR="00196E4A">
        <w:rPr>
          <w:rFonts w:ascii="BentonSans Book" w:hAnsi="BentonSans Book"/>
          <w:sz w:val="22"/>
          <w:szCs w:val="22"/>
        </w:rPr>
        <w:t xml:space="preserve"> increase of loan application in volume reflects the </w:t>
      </w:r>
      <w:r w:rsidR="00F96AE4">
        <w:rPr>
          <w:rFonts w:ascii="BentonSans Book" w:hAnsi="BentonSans Book"/>
          <w:sz w:val="22"/>
          <w:szCs w:val="22"/>
        </w:rPr>
        <w:t xml:space="preserve">expansion of </w:t>
      </w:r>
      <w:r w:rsidR="00196E4A">
        <w:rPr>
          <w:rFonts w:ascii="BentonSans Book" w:hAnsi="BentonSans Book"/>
          <w:sz w:val="22"/>
          <w:szCs w:val="22"/>
        </w:rPr>
        <w:t xml:space="preserve">digital </w:t>
      </w:r>
      <w:r w:rsidR="00F96AE4">
        <w:rPr>
          <w:rFonts w:ascii="BentonSans Book" w:hAnsi="BentonSans Book"/>
          <w:sz w:val="22"/>
          <w:szCs w:val="22"/>
        </w:rPr>
        <w:t>banking</w:t>
      </w:r>
      <w:r w:rsidR="00196E4A">
        <w:rPr>
          <w:rStyle w:val="FootnoteReference"/>
          <w:rFonts w:ascii="BentonSans Book" w:hAnsi="BentonSans Book"/>
          <w:sz w:val="22"/>
          <w:szCs w:val="22"/>
        </w:rPr>
        <w:footnoteReference w:id="2"/>
      </w:r>
      <w:r w:rsidR="00196E4A">
        <w:rPr>
          <w:rFonts w:ascii="BentonSans Book" w:hAnsi="BentonSans Book"/>
          <w:sz w:val="22"/>
          <w:szCs w:val="22"/>
        </w:rPr>
        <w:t xml:space="preserve">. </w:t>
      </w:r>
      <w:r w:rsidR="00BE6920">
        <w:rPr>
          <w:rFonts w:ascii="BentonSans Book" w:hAnsi="BentonSans Book"/>
          <w:sz w:val="22"/>
          <w:szCs w:val="22"/>
        </w:rPr>
        <w:t xml:space="preserve">They are currently four </w:t>
      </w:r>
      <w:r w:rsidR="003157D2">
        <w:rPr>
          <w:rFonts w:ascii="BentonSans Book" w:hAnsi="BentonSans Book"/>
          <w:sz w:val="22"/>
          <w:szCs w:val="22"/>
        </w:rPr>
        <w:t xml:space="preserve">banks (EQUITY BANK, CBA, BK </w:t>
      </w:r>
      <w:r w:rsidR="00620C97">
        <w:rPr>
          <w:rFonts w:ascii="BentonSans Book" w:hAnsi="BentonSans Book"/>
          <w:sz w:val="22"/>
          <w:szCs w:val="22"/>
        </w:rPr>
        <w:t>and KCB</w:t>
      </w:r>
      <w:r w:rsidR="00BE6920">
        <w:rPr>
          <w:rFonts w:ascii="BentonSans Book" w:hAnsi="BentonSans Book"/>
          <w:sz w:val="22"/>
          <w:szCs w:val="22"/>
        </w:rPr>
        <w:t xml:space="preserve">) that offer </w:t>
      </w:r>
      <w:r w:rsidR="00620C97">
        <w:rPr>
          <w:rFonts w:ascii="BentonSans Book" w:hAnsi="BentonSans Book"/>
          <w:sz w:val="22"/>
          <w:szCs w:val="22"/>
        </w:rPr>
        <w:t>this product</w:t>
      </w:r>
      <w:r w:rsidR="00F96AE4">
        <w:rPr>
          <w:rFonts w:ascii="BentonSans Book" w:hAnsi="BentonSans Book"/>
          <w:sz w:val="22"/>
          <w:szCs w:val="22"/>
        </w:rPr>
        <w:t xml:space="preserve"> of digital banking </w:t>
      </w:r>
      <w:r w:rsidR="00BE6920">
        <w:rPr>
          <w:rFonts w:ascii="BentonSans Book" w:hAnsi="BentonSans Book"/>
          <w:sz w:val="22"/>
          <w:szCs w:val="22"/>
        </w:rPr>
        <w:t xml:space="preserve">and the </w:t>
      </w:r>
      <w:r w:rsidR="00871C43">
        <w:rPr>
          <w:rFonts w:ascii="BentonSans Book" w:hAnsi="BentonSans Book"/>
          <w:sz w:val="22"/>
          <w:szCs w:val="22"/>
        </w:rPr>
        <w:t xml:space="preserve">latter is attracting </w:t>
      </w:r>
      <w:r w:rsidR="00F96AE4">
        <w:rPr>
          <w:rFonts w:ascii="BentonSans Book" w:hAnsi="BentonSans Book"/>
          <w:sz w:val="22"/>
          <w:szCs w:val="22"/>
        </w:rPr>
        <w:t>a number of borrowers due to lower</w:t>
      </w:r>
      <w:r w:rsidR="00F96AE4" w:rsidRPr="00F96AE4">
        <w:rPr>
          <w:rFonts w:ascii="BentonSans Book" w:hAnsi="BentonSans Book"/>
          <w:sz w:val="22"/>
          <w:szCs w:val="22"/>
        </w:rPr>
        <w:t xml:space="preserve"> transaction costs</w:t>
      </w:r>
      <w:r w:rsidR="00871C43">
        <w:rPr>
          <w:rFonts w:ascii="BentonSans Book" w:hAnsi="BentonSans Book"/>
          <w:sz w:val="22"/>
          <w:szCs w:val="22"/>
        </w:rPr>
        <w:t>, easy conditions</w:t>
      </w:r>
      <w:r w:rsidR="00F96AE4" w:rsidRPr="00F96AE4">
        <w:rPr>
          <w:rFonts w:ascii="BentonSans Book" w:hAnsi="BentonSans Book"/>
          <w:sz w:val="22"/>
          <w:szCs w:val="22"/>
        </w:rPr>
        <w:t xml:space="preserve"> </w:t>
      </w:r>
      <w:r w:rsidR="00F96AE4">
        <w:rPr>
          <w:rFonts w:ascii="BentonSans Book" w:hAnsi="BentonSans Book"/>
          <w:sz w:val="22"/>
          <w:szCs w:val="22"/>
        </w:rPr>
        <w:t xml:space="preserve">and short time </w:t>
      </w:r>
      <w:r w:rsidR="00871C43">
        <w:rPr>
          <w:rFonts w:ascii="BentonSans Book" w:hAnsi="BentonSans Book"/>
          <w:sz w:val="22"/>
          <w:szCs w:val="22"/>
        </w:rPr>
        <w:t xml:space="preserve">for </w:t>
      </w:r>
      <w:r w:rsidR="00871C43" w:rsidRPr="00F96AE4">
        <w:rPr>
          <w:rFonts w:ascii="BentonSans Book" w:hAnsi="BentonSans Book"/>
          <w:sz w:val="22"/>
          <w:szCs w:val="22"/>
        </w:rPr>
        <w:t>approval</w:t>
      </w:r>
      <w:r w:rsidR="00F96AE4" w:rsidRPr="00F96AE4">
        <w:rPr>
          <w:rFonts w:ascii="BentonSans Book" w:hAnsi="BentonSans Book"/>
          <w:sz w:val="22"/>
          <w:szCs w:val="22"/>
        </w:rPr>
        <w:t xml:space="preserve"> and d</w:t>
      </w:r>
      <w:r w:rsidR="00F96AE4">
        <w:rPr>
          <w:rFonts w:ascii="BentonSans Book" w:hAnsi="BentonSans Book"/>
          <w:sz w:val="22"/>
          <w:szCs w:val="22"/>
        </w:rPr>
        <w:t>isbursement.</w:t>
      </w:r>
      <w:r w:rsidR="00871C43">
        <w:rPr>
          <w:rFonts w:ascii="BentonSans Book" w:hAnsi="BentonSans Book"/>
          <w:sz w:val="22"/>
          <w:szCs w:val="22"/>
        </w:rPr>
        <w:t xml:space="preserve"> </w:t>
      </w:r>
      <w:r w:rsidR="00BE6920">
        <w:rPr>
          <w:rFonts w:ascii="BentonSans Book" w:hAnsi="BentonSans Book"/>
          <w:sz w:val="22"/>
          <w:szCs w:val="22"/>
        </w:rPr>
        <w:t xml:space="preserve">During the </w:t>
      </w:r>
      <w:r w:rsidR="00871C43">
        <w:rPr>
          <w:rFonts w:ascii="BentonSans Book" w:hAnsi="BentonSans Book"/>
          <w:sz w:val="22"/>
          <w:szCs w:val="22"/>
        </w:rPr>
        <w:t xml:space="preserve">period under review, </w:t>
      </w:r>
      <w:r w:rsidR="00BE6920">
        <w:rPr>
          <w:rFonts w:ascii="BentonSans Book" w:hAnsi="BentonSans Book"/>
          <w:sz w:val="22"/>
          <w:szCs w:val="22"/>
        </w:rPr>
        <w:t xml:space="preserve">the number of digital borrowers increased to 67,852 </w:t>
      </w:r>
      <w:r w:rsidR="00871C43">
        <w:rPr>
          <w:rFonts w:ascii="BentonSans Book" w:hAnsi="BentonSans Book"/>
          <w:sz w:val="22"/>
          <w:szCs w:val="22"/>
        </w:rPr>
        <w:t xml:space="preserve">in 2018 </w:t>
      </w:r>
      <w:r w:rsidR="00BE6920">
        <w:rPr>
          <w:rFonts w:ascii="BentonSans Book" w:hAnsi="BentonSans Book"/>
          <w:sz w:val="22"/>
          <w:szCs w:val="22"/>
        </w:rPr>
        <w:t xml:space="preserve">from 25,522 in 2017, whereas the amount borrowed rose to FRW 2.4 billion in 2018 from FRW 0.23 billion in 2017. </w:t>
      </w:r>
    </w:p>
    <w:p w14:paraId="3FDE2F56" w14:textId="77777777" w:rsidR="003157D2" w:rsidRDefault="00E75BAA" w:rsidP="009D1113">
      <w:pPr>
        <w:pStyle w:val="NormalWeb"/>
        <w:spacing w:before="120" w:after="120" w:line="360" w:lineRule="auto"/>
        <w:rPr>
          <w:rFonts w:ascii="BentonSans Book" w:hAnsi="BentonSans Book"/>
          <w:b/>
          <w:sz w:val="22"/>
          <w:szCs w:val="22"/>
        </w:rPr>
      </w:pPr>
      <w:r w:rsidRPr="009D1113">
        <w:rPr>
          <w:rFonts w:ascii="BentonSans Book" w:hAnsi="BentonSans Book"/>
          <w:b/>
          <w:sz w:val="22"/>
          <w:szCs w:val="22"/>
        </w:rPr>
        <w:t>Table 1: Loan Application in Value and Volume</w:t>
      </w:r>
    </w:p>
    <w:tbl>
      <w:tblPr>
        <w:tblW w:w="9530" w:type="dxa"/>
        <w:tblLook w:val="0600" w:firstRow="0" w:lastRow="0" w:firstColumn="0" w:lastColumn="0" w:noHBand="1" w:noVBand="1"/>
      </w:tblPr>
      <w:tblGrid>
        <w:gridCol w:w="3320"/>
        <w:gridCol w:w="1354"/>
        <w:gridCol w:w="1171"/>
        <w:gridCol w:w="1316"/>
        <w:gridCol w:w="1231"/>
        <w:gridCol w:w="1138"/>
      </w:tblGrid>
      <w:tr w:rsidR="009B3642" w:rsidRPr="00D97A38" w14:paraId="4A2D1FF3" w14:textId="77777777" w:rsidTr="009B3642">
        <w:trPr>
          <w:trHeight w:val="495"/>
        </w:trPr>
        <w:tc>
          <w:tcPr>
            <w:tcW w:w="3320"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49CACB10" w14:textId="77777777" w:rsidR="00D97A38" w:rsidRPr="00D97A38" w:rsidRDefault="00D97A38" w:rsidP="00D97A38">
            <w:pPr>
              <w:spacing w:after="0" w:line="240" w:lineRule="auto"/>
              <w:rPr>
                <w:rFonts w:ascii="BentonSans Book" w:eastAsia="Times New Roman" w:hAnsi="BentonSans Book" w:cs="Times New Roman"/>
                <w:b/>
              </w:rPr>
            </w:pPr>
            <w:r w:rsidRPr="00D97A38">
              <w:rPr>
                <w:rFonts w:ascii="BentonSans Book" w:eastAsia="Times New Roman" w:hAnsi="BentonSans Book" w:cs="Times New Roman"/>
                <w:b/>
              </w:rPr>
              <w:t> Loan applications</w:t>
            </w:r>
          </w:p>
        </w:tc>
        <w:tc>
          <w:tcPr>
            <w:tcW w:w="1354" w:type="dxa"/>
            <w:tcBorders>
              <w:top w:val="single" w:sz="4" w:space="0" w:color="auto"/>
              <w:left w:val="nil"/>
              <w:bottom w:val="single" w:sz="4" w:space="0" w:color="auto"/>
              <w:right w:val="single" w:sz="4" w:space="0" w:color="auto"/>
            </w:tcBorders>
            <w:shd w:val="clear" w:color="auto" w:fill="FFC000"/>
            <w:noWrap/>
            <w:vAlign w:val="bottom"/>
            <w:hideMark/>
          </w:tcPr>
          <w:p w14:paraId="03DCEFF8" w14:textId="77777777" w:rsidR="00D97A38" w:rsidRPr="00D97A38" w:rsidRDefault="00D97A38" w:rsidP="00D97A38">
            <w:pPr>
              <w:spacing w:after="0" w:line="240" w:lineRule="auto"/>
              <w:jc w:val="center"/>
              <w:rPr>
                <w:rFonts w:ascii="BentonSans Book" w:eastAsia="Times New Roman" w:hAnsi="BentonSans Book" w:cs="Times New Roman"/>
                <w:b/>
              </w:rPr>
            </w:pPr>
            <w:r>
              <w:rPr>
                <w:rFonts w:ascii="BentonSans Book" w:eastAsia="Times New Roman" w:hAnsi="BentonSans Book" w:cs="Times New Roman"/>
                <w:b/>
              </w:rPr>
              <w:t>20</w:t>
            </w:r>
            <w:r w:rsidRPr="00D97A38">
              <w:rPr>
                <w:rFonts w:ascii="BentonSans Book" w:eastAsia="Times New Roman" w:hAnsi="BentonSans Book" w:cs="Times New Roman"/>
                <w:b/>
              </w:rPr>
              <w:t>16</w:t>
            </w:r>
          </w:p>
        </w:tc>
        <w:tc>
          <w:tcPr>
            <w:tcW w:w="1171" w:type="dxa"/>
            <w:tcBorders>
              <w:top w:val="single" w:sz="4" w:space="0" w:color="auto"/>
              <w:left w:val="nil"/>
              <w:bottom w:val="single" w:sz="4" w:space="0" w:color="auto"/>
              <w:right w:val="single" w:sz="4" w:space="0" w:color="auto"/>
            </w:tcBorders>
            <w:shd w:val="clear" w:color="auto" w:fill="FFC000"/>
            <w:noWrap/>
            <w:vAlign w:val="bottom"/>
            <w:hideMark/>
          </w:tcPr>
          <w:p w14:paraId="4DEEB7B0" w14:textId="77777777" w:rsidR="00D97A38" w:rsidRPr="00D97A38" w:rsidRDefault="00D97A38" w:rsidP="00D97A38">
            <w:pPr>
              <w:spacing w:after="0" w:line="240" w:lineRule="auto"/>
              <w:jc w:val="center"/>
              <w:rPr>
                <w:rFonts w:ascii="BentonSans Book" w:eastAsia="Times New Roman" w:hAnsi="BentonSans Book" w:cs="Times New Roman"/>
                <w:b/>
              </w:rPr>
            </w:pPr>
            <w:r>
              <w:rPr>
                <w:rFonts w:ascii="BentonSans Book" w:eastAsia="Times New Roman" w:hAnsi="BentonSans Book" w:cs="Times New Roman"/>
                <w:b/>
              </w:rPr>
              <w:t>20</w:t>
            </w:r>
            <w:r w:rsidRPr="00D97A38">
              <w:rPr>
                <w:rFonts w:ascii="BentonSans Book" w:eastAsia="Times New Roman" w:hAnsi="BentonSans Book" w:cs="Times New Roman"/>
                <w:b/>
              </w:rPr>
              <w:t>17</w:t>
            </w:r>
          </w:p>
        </w:tc>
        <w:tc>
          <w:tcPr>
            <w:tcW w:w="1316" w:type="dxa"/>
            <w:tcBorders>
              <w:top w:val="single" w:sz="4" w:space="0" w:color="auto"/>
              <w:left w:val="nil"/>
              <w:bottom w:val="single" w:sz="4" w:space="0" w:color="auto"/>
              <w:right w:val="single" w:sz="4" w:space="0" w:color="auto"/>
            </w:tcBorders>
            <w:shd w:val="clear" w:color="auto" w:fill="FFC000"/>
            <w:noWrap/>
            <w:vAlign w:val="bottom"/>
            <w:hideMark/>
          </w:tcPr>
          <w:p w14:paraId="5A09B66C" w14:textId="77777777" w:rsidR="00D97A38" w:rsidRPr="00D97A38" w:rsidRDefault="00D97A38" w:rsidP="00D97A38">
            <w:pPr>
              <w:spacing w:after="0" w:line="240" w:lineRule="auto"/>
              <w:jc w:val="center"/>
              <w:rPr>
                <w:rFonts w:ascii="BentonSans Book" w:eastAsia="Times New Roman" w:hAnsi="BentonSans Book" w:cs="Times New Roman"/>
                <w:b/>
              </w:rPr>
            </w:pPr>
            <w:r>
              <w:rPr>
                <w:rFonts w:ascii="BentonSans Book" w:eastAsia="Times New Roman" w:hAnsi="BentonSans Book" w:cs="Times New Roman"/>
                <w:b/>
              </w:rPr>
              <w:t>20</w:t>
            </w:r>
            <w:r w:rsidRPr="00D97A38">
              <w:rPr>
                <w:rFonts w:ascii="BentonSans Book" w:eastAsia="Times New Roman" w:hAnsi="BentonSans Book" w:cs="Times New Roman"/>
                <w:b/>
              </w:rPr>
              <w:t>18</w:t>
            </w:r>
          </w:p>
        </w:tc>
        <w:tc>
          <w:tcPr>
            <w:tcW w:w="1231" w:type="dxa"/>
            <w:tcBorders>
              <w:top w:val="single" w:sz="4" w:space="0" w:color="auto"/>
              <w:left w:val="nil"/>
              <w:bottom w:val="single" w:sz="4" w:space="0" w:color="auto"/>
              <w:right w:val="single" w:sz="4" w:space="0" w:color="auto"/>
            </w:tcBorders>
            <w:shd w:val="clear" w:color="auto" w:fill="FFC000"/>
            <w:noWrap/>
            <w:vAlign w:val="bottom"/>
            <w:hideMark/>
          </w:tcPr>
          <w:p w14:paraId="41A8451F" w14:textId="77777777" w:rsidR="00D97A38" w:rsidRPr="00D97A38" w:rsidRDefault="00D97A38" w:rsidP="00D97A38">
            <w:pPr>
              <w:spacing w:after="0" w:line="240" w:lineRule="auto"/>
              <w:jc w:val="center"/>
              <w:rPr>
                <w:rFonts w:ascii="BentonSans Book" w:eastAsia="Times New Roman" w:hAnsi="BentonSans Book" w:cs="Times New Roman"/>
                <w:b/>
              </w:rPr>
            </w:pPr>
            <w:r w:rsidRPr="00D97A38">
              <w:rPr>
                <w:rFonts w:ascii="BentonSans Book" w:eastAsia="Times New Roman" w:hAnsi="BentonSans Book" w:cs="Times New Roman"/>
                <w:b/>
              </w:rPr>
              <w:t>% Change 16/17</w:t>
            </w:r>
          </w:p>
        </w:tc>
        <w:tc>
          <w:tcPr>
            <w:tcW w:w="1138" w:type="dxa"/>
            <w:tcBorders>
              <w:top w:val="single" w:sz="4" w:space="0" w:color="auto"/>
              <w:left w:val="nil"/>
              <w:bottom w:val="single" w:sz="4" w:space="0" w:color="auto"/>
              <w:right w:val="single" w:sz="4" w:space="0" w:color="auto"/>
            </w:tcBorders>
            <w:shd w:val="clear" w:color="auto" w:fill="FFC000"/>
            <w:noWrap/>
            <w:vAlign w:val="bottom"/>
            <w:hideMark/>
          </w:tcPr>
          <w:p w14:paraId="6F7081B6" w14:textId="77777777" w:rsidR="00D97A38" w:rsidRPr="00D97A38" w:rsidRDefault="00D97A38" w:rsidP="00D97A38">
            <w:pPr>
              <w:spacing w:after="0" w:line="240" w:lineRule="auto"/>
              <w:jc w:val="center"/>
              <w:rPr>
                <w:rFonts w:ascii="BentonSans Book" w:eastAsia="Times New Roman" w:hAnsi="BentonSans Book" w:cs="Times New Roman"/>
                <w:b/>
              </w:rPr>
            </w:pPr>
            <w:r w:rsidRPr="00D97A38">
              <w:rPr>
                <w:rFonts w:ascii="BentonSans Book" w:eastAsia="Times New Roman" w:hAnsi="BentonSans Book" w:cs="Times New Roman"/>
                <w:b/>
              </w:rPr>
              <w:t>% Change 17/18</w:t>
            </w:r>
          </w:p>
        </w:tc>
      </w:tr>
      <w:tr w:rsidR="00D97A38" w:rsidRPr="00D97A38" w14:paraId="703ECC1A" w14:textId="77777777" w:rsidTr="003C07A1">
        <w:trPr>
          <w:trHeight w:val="485"/>
        </w:trPr>
        <w:tc>
          <w:tcPr>
            <w:tcW w:w="3320" w:type="dxa"/>
            <w:tcBorders>
              <w:top w:val="nil"/>
              <w:left w:val="single" w:sz="4" w:space="0" w:color="auto"/>
              <w:bottom w:val="single" w:sz="4" w:space="0" w:color="auto"/>
              <w:right w:val="single" w:sz="4" w:space="0" w:color="auto"/>
            </w:tcBorders>
            <w:shd w:val="clear" w:color="auto" w:fill="auto"/>
            <w:noWrap/>
            <w:vAlign w:val="bottom"/>
            <w:hideMark/>
          </w:tcPr>
          <w:p w14:paraId="402F786E" w14:textId="77777777" w:rsidR="00D97A38" w:rsidRPr="00D97A38" w:rsidRDefault="00D97A38" w:rsidP="00D97A38">
            <w:pPr>
              <w:spacing w:after="0" w:line="240" w:lineRule="auto"/>
              <w:rPr>
                <w:rFonts w:ascii="BentonSans Book" w:eastAsia="Times New Roman" w:hAnsi="BentonSans Book" w:cs="Times New Roman"/>
              </w:rPr>
            </w:pPr>
            <w:r w:rsidRPr="00D97A38">
              <w:rPr>
                <w:rFonts w:ascii="BentonSans Book" w:eastAsia="Times New Roman" w:hAnsi="BentonSans Book" w:cs="Times New Roman"/>
              </w:rPr>
              <w:t>Loan application in value</w:t>
            </w:r>
            <w:r>
              <w:rPr>
                <w:rFonts w:ascii="BentonSans Book" w:eastAsia="Times New Roman" w:hAnsi="BentonSans Book" w:cs="Times New Roman"/>
              </w:rPr>
              <w:t xml:space="preserve"> (FRW Billion)</w:t>
            </w:r>
          </w:p>
        </w:tc>
        <w:tc>
          <w:tcPr>
            <w:tcW w:w="1354" w:type="dxa"/>
            <w:tcBorders>
              <w:top w:val="nil"/>
              <w:left w:val="nil"/>
              <w:bottom w:val="single" w:sz="4" w:space="0" w:color="auto"/>
              <w:right w:val="single" w:sz="4" w:space="0" w:color="auto"/>
            </w:tcBorders>
            <w:shd w:val="clear" w:color="auto" w:fill="auto"/>
            <w:noWrap/>
            <w:vAlign w:val="center"/>
            <w:hideMark/>
          </w:tcPr>
          <w:p w14:paraId="782BF4EA" w14:textId="77777777" w:rsidR="00D97A38" w:rsidRPr="00D97A38" w:rsidRDefault="00D97A38" w:rsidP="009B3642">
            <w:pPr>
              <w:spacing w:after="0" w:line="240" w:lineRule="auto"/>
              <w:jc w:val="center"/>
              <w:rPr>
                <w:rFonts w:ascii="BentonSans Book" w:eastAsia="Times New Roman" w:hAnsi="BentonSans Book" w:cs="Times New Roman"/>
                <w:sz w:val="26"/>
              </w:rPr>
            </w:pPr>
            <w:r w:rsidRPr="00D97A38">
              <w:rPr>
                <w:rFonts w:ascii="BentonSans Book" w:eastAsia="Times New Roman" w:hAnsi="BentonSans Book" w:cs="Times New Roman"/>
                <w:sz w:val="26"/>
              </w:rPr>
              <w:t>920</w:t>
            </w:r>
          </w:p>
        </w:tc>
        <w:tc>
          <w:tcPr>
            <w:tcW w:w="1171" w:type="dxa"/>
            <w:tcBorders>
              <w:top w:val="nil"/>
              <w:left w:val="nil"/>
              <w:bottom w:val="single" w:sz="4" w:space="0" w:color="auto"/>
              <w:right w:val="single" w:sz="4" w:space="0" w:color="auto"/>
            </w:tcBorders>
            <w:shd w:val="clear" w:color="auto" w:fill="auto"/>
            <w:noWrap/>
            <w:vAlign w:val="center"/>
            <w:hideMark/>
          </w:tcPr>
          <w:p w14:paraId="495FB6DC" w14:textId="77777777" w:rsidR="00D97A38" w:rsidRPr="00D97A38" w:rsidRDefault="00D97A38">
            <w:pPr>
              <w:spacing w:after="0" w:line="240" w:lineRule="auto"/>
              <w:jc w:val="center"/>
              <w:rPr>
                <w:rFonts w:ascii="BentonSans Book" w:eastAsia="Times New Roman" w:hAnsi="BentonSans Book" w:cs="Times New Roman"/>
                <w:sz w:val="26"/>
              </w:rPr>
            </w:pPr>
            <w:r w:rsidRPr="00D97A38">
              <w:rPr>
                <w:rFonts w:ascii="BentonSans Book" w:eastAsia="Times New Roman" w:hAnsi="BentonSans Book" w:cs="Times New Roman"/>
                <w:sz w:val="26"/>
              </w:rPr>
              <w:t>1,196</w:t>
            </w:r>
          </w:p>
        </w:tc>
        <w:tc>
          <w:tcPr>
            <w:tcW w:w="1316" w:type="dxa"/>
            <w:tcBorders>
              <w:top w:val="nil"/>
              <w:left w:val="nil"/>
              <w:bottom w:val="single" w:sz="4" w:space="0" w:color="auto"/>
              <w:right w:val="single" w:sz="4" w:space="0" w:color="auto"/>
            </w:tcBorders>
            <w:shd w:val="clear" w:color="auto" w:fill="auto"/>
            <w:noWrap/>
            <w:vAlign w:val="center"/>
            <w:hideMark/>
          </w:tcPr>
          <w:p w14:paraId="77F6E784" w14:textId="77777777" w:rsidR="00D97A38" w:rsidRPr="00D97A38" w:rsidRDefault="00D97A38">
            <w:pPr>
              <w:spacing w:after="0" w:line="240" w:lineRule="auto"/>
              <w:jc w:val="center"/>
              <w:rPr>
                <w:rFonts w:ascii="BentonSans Book" w:eastAsia="Times New Roman" w:hAnsi="BentonSans Book" w:cs="Times New Roman"/>
                <w:sz w:val="26"/>
              </w:rPr>
            </w:pPr>
            <w:r w:rsidRPr="00D97A38">
              <w:rPr>
                <w:rFonts w:ascii="BentonSans Book" w:eastAsia="Times New Roman" w:hAnsi="BentonSans Book" w:cs="Times New Roman"/>
                <w:sz w:val="26"/>
              </w:rPr>
              <w:t>1,237</w:t>
            </w:r>
          </w:p>
        </w:tc>
        <w:tc>
          <w:tcPr>
            <w:tcW w:w="1231" w:type="dxa"/>
            <w:tcBorders>
              <w:top w:val="nil"/>
              <w:left w:val="nil"/>
              <w:bottom w:val="single" w:sz="4" w:space="0" w:color="auto"/>
              <w:right w:val="single" w:sz="4" w:space="0" w:color="auto"/>
            </w:tcBorders>
            <w:shd w:val="clear" w:color="auto" w:fill="auto"/>
            <w:noWrap/>
            <w:vAlign w:val="center"/>
            <w:hideMark/>
          </w:tcPr>
          <w:p w14:paraId="561CABBD" w14:textId="77777777" w:rsidR="00D97A38" w:rsidRPr="00D97A38" w:rsidRDefault="00D97A38">
            <w:pPr>
              <w:spacing w:after="0" w:line="240" w:lineRule="auto"/>
              <w:jc w:val="center"/>
              <w:rPr>
                <w:rFonts w:ascii="BentonSans Book" w:eastAsia="Times New Roman" w:hAnsi="BentonSans Book" w:cs="Times New Roman"/>
                <w:sz w:val="26"/>
              </w:rPr>
            </w:pPr>
            <w:r w:rsidRPr="00D97A38">
              <w:rPr>
                <w:rFonts w:ascii="BentonSans Book" w:eastAsia="Times New Roman" w:hAnsi="BentonSans Book" w:cs="Times New Roman"/>
                <w:sz w:val="26"/>
              </w:rPr>
              <w:t>30.0</w:t>
            </w:r>
          </w:p>
        </w:tc>
        <w:tc>
          <w:tcPr>
            <w:tcW w:w="1138" w:type="dxa"/>
            <w:tcBorders>
              <w:top w:val="nil"/>
              <w:left w:val="nil"/>
              <w:bottom w:val="single" w:sz="4" w:space="0" w:color="auto"/>
              <w:right w:val="single" w:sz="4" w:space="0" w:color="auto"/>
            </w:tcBorders>
            <w:shd w:val="clear" w:color="auto" w:fill="auto"/>
            <w:noWrap/>
            <w:vAlign w:val="center"/>
            <w:hideMark/>
          </w:tcPr>
          <w:p w14:paraId="24F54402" w14:textId="77777777" w:rsidR="00D97A38" w:rsidRPr="00D97A38" w:rsidRDefault="00D97A38">
            <w:pPr>
              <w:spacing w:after="0" w:line="240" w:lineRule="auto"/>
              <w:jc w:val="center"/>
              <w:rPr>
                <w:rFonts w:ascii="BentonSans Book" w:eastAsia="Times New Roman" w:hAnsi="BentonSans Book" w:cs="Times New Roman"/>
                <w:sz w:val="26"/>
              </w:rPr>
            </w:pPr>
            <w:r w:rsidRPr="00D97A38">
              <w:rPr>
                <w:rFonts w:ascii="BentonSans Book" w:eastAsia="Times New Roman" w:hAnsi="BentonSans Book" w:cs="Times New Roman"/>
                <w:sz w:val="26"/>
              </w:rPr>
              <w:t>3.4</w:t>
            </w:r>
          </w:p>
        </w:tc>
      </w:tr>
      <w:tr w:rsidR="00D97A38" w:rsidRPr="00D97A38" w14:paraId="279FBF0D" w14:textId="77777777" w:rsidTr="003C07A1">
        <w:trPr>
          <w:trHeight w:val="440"/>
        </w:trPr>
        <w:tc>
          <w:tcPr>
            <w:tcW w:w="3320" w:type="dxa"/>
            <w:tcBorders>
              <w:top w:val="nil"/>
              <w:left w:val="single" w:sz="4" w:space="0" w:color="auto"/>
              <w:bottom w:val="single" w:sz="4" w:space="0" w:color="auto"/>
              <w:right w:val="single" w:sz="4" w:space="0" w:color="auto"/>
            </w:tcBorders>
            <w:shd w:val="clear" w:color="auto" w:fill="auto"/>
            <w:noWrap/>
            <w:vAlign w:val="bottom"/>
            <w:hideMark/>
          </w:tcPr>
          <w:p w14:paraId="3428F74F" w14:textId="77777777" w:rsidR="00D97A38" w:rsidRPr="00D97A38" w:rsidRDefault="00D97A38" w:rsidP="00D97A38">
            <w:pPr>
              <w:spacing w:after="0" w:line="240" w:lineRule="auto"/>
              <w:rPr>
                <w:rFonts w:ascii="BentonSans Book" w:eastAsia="Times New Roman" w:hAnsi="BentonSans Book" w:cs="Times New Roman"/>
              </w:rPr>
            </w:pPr>
            <w:r w:rsidRPr="00D97A38">
              <w:rPr>
                <w:rFonts w:ascii="BentonSans Book" w:eastAsia="Times New Roman" w:hAnsi="BentonSans Book" w:cs="Times New Roman"/>
              </w:rPr>
              <w:t>Loan application in volume</w:t>
            </w:r>
            <w:r>
              <w:rPr>
                <w:rFonts w:ascii="BentonSans Book" w:eastAsia="Times New Roman" w:hAnsi="BentonSans Book" w:cs="Times New Roman"/>
              </w:rPr>
              <w:t xml:space="preserve"> (Units)</w:t>
            </w:r>
          </w:p>
        </w:tc>
        <w:tc>
          <w:tcPr>
            <w:tcW w:w="1354" w:type="dxa"/>
            <w:tcBorders>
              <w:top w:val="nil"/>
              <w:left w:val="nil"/>
              <w:bottom w:val="single" w:sz="4" w:space="0" w:color="auto"/>
              <w:right w:val="single" w:sz="4" w:space="0" w:color="auto"/>
            </w:tcBorders>
            <w:shd w:val="clear" w:color="auto" w:fill="auto"/>
            <w:noWrap/>
            <w:vAlign w:val="center"/>
            <w:hideMark/>
          </w:tcPr>
          <w:p w14:paraId="22A460E7" w14:textId="77777777" w:rsidR="00D97A38" w:rsidRPr="00D97A38" w:rsidRDefault="00D97A38" w:rsidP="009B3642">
            <w:pPr>
              <w:spacing w:after="0" w:line="240" w:lineRule="auto"/>
              <w:jc w:val="center"/>
              <w:rPr>
                <w:rFonts w:ascii="BentonSans Book" w:eastAsia="Times New Roman" w:hAnsi="BentonSans Book" w:cs="Times New Roman"/>
                <w:sz w:val="26"/>
              </w:rPr>
            </w:pPr>
            <w:r w:rsidRPr="00D97A38">
              <w:rPr>
                <w:rFonts w:ascii="BentonSans Book" w:eastAsia="Times New Roman" w:hAnsi="BentonSans Book" w:cs="Times New Roman"/>
                <w:sz w:val="26"/>
              </w:rPr>
              <w:t>281,592</w:t>
            </w:r>
          </w:p>
        </w:tc>
        <w:tc>
          <w:tcPr>
            <w:tcW w:w="1171" w:type="dxa"/>
            <w:tcBorders>
              <w:top w:val="nil"/>
              <w:left w:val="nil"/>
              <w:bottom w:val="single" w:sz="4" w:space="0" w:color="auto"/>
              <w:right w:val="single" w:sz="4" w:space="0" w:color="auto"/>
            </w:tcBorders>
            <w:shd w:val="clear" w:color="auto" w:fill="auto"/>
            <w:noWrap/>
            <w:vAlign w:val="center"/>
            <w:hideMark/>
          </w:tcPr>
          <w:p w14:paraId="1726312C" w14:textId="77777777" w:rsidR="00D97A38" w:rsidRPr="00D97A38" w:rsidRDefault="00D97A38">
            <w:pPr>
              <w:spacing w:after="0" w:line="240" w:lineRule="auto"/>
              <w:jc w:val="center"/>
              <w:rPr>
                <w:rFonts w:ascii="BentonSans Book" w:eastAsia="Times New Roman" w:hAnsi="BentonSans Book" w:cs="Times New Roman"/>
                <w:sz w:val="26"/>
              </w:rPr>
            </w:pPr>
            <w:r w:rsidRPr="00D97A38">
              <w:rPr>
                <w:rFonts w:ascii="BentonSans Book" w:eastAsia="Times New Roman" w:hAnsi="BentonSans Book" w:cs="Times New Roman"/>
                <w:sz w:val="26"/>
              </w:rPr>
              <w:t>318,166</w:t>
            </w:r>
          </w:p>
        </w:tc>
        <w:tc>
          <w:tcPr>
            <w:tcW w:w="1316" w:type="dxa"/>
            <w:tcBorders>
              <w:top w:val="nil"/>
              <w:left w:val="nil"/>
              <w:bottom w:val="single" w:sz="4" w:space="0" w:color="auto"/>
              <w:right w:val="single" w:sz="4" w:space="0" w:color="auto"/>
            </w:tcBorders>
            <w:shd w:val="clear" w:color="auto" w:fill="auto"/>
            <w:noWrap/>
            <w:vAlign w:val="center"/>
            <w:hideMark/>
          </w:tcPr>
          <w:p w14:paraId="2F3921C1" w14:textId="77777777" w:rsidR="00D97A38" w:rsidRPr="00D97A38" w:rsidRDefault="00D97A38">
            <w:pPr>
              <w:spacing w:after="0" w:line="240" w:lineRule="auto"/>
              <w:jc w:val="center"/>
              <w:rPr>
                <w:rFonts w:ascii="BentonSans Book" w:eastAsia="Times New Roman" w:hAnsi="BentonSans Book" w:cs="Times New Roman"/>
                <w:sz w:val="26"/>
              </w:rPr>
            </w:pPr>
            <w:r w:rsidRPr="00D97A38">
              <w:rPr>
                <w:rFonts w:ascii="BentonSans Book" w:eastAsia="Times New Roman" w:hAnsi="BentonSans Book" w:cs="Times New Roman"/>
                <w:sz w:val="26"/>
              </w:rPr>
              <w:t>376,383</w:t>
            </w:r>
          </w:p>
        </w:tc>
        <w:tc>
          <w:tcPr>
            <w:tcW w:w="1231" w:type="dxa"/>
            <w:tcBorders>
              <w:top w:val="nil"/>
              <w:left w:val="nil"/>
              <w:bottom w:val="single" w:sz="4" w:space="0" w:color="auto"/>
              <w:right w:val="single" w:sz="4" w:space="0" w:color="auto"/>
            </w:tcBorders>
            <w:shd w:val="clear" w:color="auto" w:fill="auto"/>
            <w:noWrap/>
            <w:vAlign w:val="center"/>
            <w:hideMark/>
          </w:tcPr>
          <w:p w14:paraId="3DD0A881" w14:textId="77777777" w:rsidR="00D97A38" w:rsidRPr="00D97A38" w:rsidRDefault="00D97A38">
            <w:pPr>
              <w:spacing w:after="0" w:line="240" w:lineRule="auto"/>
              <w:jc w:val="center"/>
              <w:rPr>
                <w:rFonts w:ascii="BentonSans Book" w:eastAsia="Times New Roman" w:hAnsi="BentonSans Book" w:cs="Times New Roman"/>
                <w:sz w:val="26"/>
              </w:rPr>
            </w:pPr>
            <w:r w:rsidRPr="00D97A38">
              <w:rPr>
                <w:rFonts w:ascii="BentonSans Book" w:eastAsia="Times New Roman" w:hAnsi="BentonSans Book" w:cs="Times New Roman"/>
                <w:sz w:val="26"/>
              </w:rPr>
              <w:t>13.0</w:t>
            </w:r>
          </w:p>
        </w:tc>
        <w:tc>
          <w:tcPr>
            <w:tcW w:w="1138" w:type="dxa"/>
            <w:tcBorders>
              <w:top w:val="nil"/>
              <w:left w:val="nil"/>
              <w:bottom w:val="single" w:sz="4" w:space="0" w:color="auto"/>
              <w:right w:val="single" w:sz="4" w:space="0" w:color="auto"/>
            </w:tcBorders>
            <w:shd w:val="clear" w:color="auto" w:fill="auto"/>
            <w:noWrap/>
            <w:vAlign w:val="center"/>
            <w:hideMark/>
          </w:tcPr>
          <w:p w14:paraId="08DD29F8" w14:textId="77777777" w:rsidR="00D97A38" w:rsidRPr="00D97A38" w:rsidRDefault="00D97A38">
            <w:pPr>
              <w:spacing w:after="0" w:line="240" w:lineRule="auto"/>
              <w:jc w:val="center"/>
              <w:rPr>
                <w:rFonts w:ascii="BentonSans Book" w:eastAsia="Times New Roman" w:hAnsi="BentonSans Book" w:cs="Times New Roman"/>
                <w:sz w:val="26"/>
              </w:rPr>
            </w:pPr>
            <w:r w:rsidRPr="00D97A38">
              <w:rPr>
                <w:rFonts w:ascii="BentonSans Book" w:eastAsia="Times New Roman" w:hAnsi="BentonSans Book" w:cs="Times New Roman"/>
                <w:sz w:val="26"/>
              </w:rPr>
              <w:t>18.3</w:t>
            </w:r>
          </w:p>
        </w:tc>
      </w:tr>
    </w:tbl>
    <w:p w14:paraId="367112CA" w14:textId="77777777" w:rsidR="009D1113" w:rsidRPr="003C59F8" w:rsidRDefault="00E75BAA" w:rsidP="009D1113">
      <w:pPr>
        <w:pStyle w:val="NormalWeb"/>
        <w:spacing w:before="120" w:after="120" w:line="360" w:lineRule="auto"/>
        <w:rPr>
          <w:rFonts w:ascii="BentonSans Book" w:hAnsi="BentonSans Book"/>
          <w:sz w:val="22"/>
          <w:szCs w:val="22"/>
        </w:rPr>
      </w:pPr>
      <w:r w:rsidRPr="009D1113">
        <w:rPr>
          <w:rFonts w:ascii="BentonSans Book" w:hAnsi="BentonSans Book"/>
          <w:b/>
          <w:sz w:val="22"/>
          <w:szCs w:val="22"/>
        </w:rPr>
        <w:t>Source:</w:t>
      </w:r>
      <w:r w:rsidRPr="009D1113">
        <w:rPr>
          <w:rFonts w:ascii="BentonSans Book" w:hAnsi="BentonSans Book"/>
          <w:sz w:val="22"/>
          <w:szCs w:val="22"/>
        </w:rPr>
        <w:t xml:space="preserve"> Credit Survey Findings</w:t>
      </w:r>
    </w:p>
    <w:p w14:paraId="2AEAAAA6" w14:textId="77777777" w:rsidR="00E75BAA" w:rsidRPr="009D1113" w:rsidRDefault="00E75BAA" w:rsidP="009D1113">
      <w:pPr>
        <w:pStyle w:val="NormalWeb"/>
        <w:spacing w:before="120" w:after="120" w:line="360" w:lineRule="auto"/>
        <w:rPr>
          <w:rFonts w:ascii="BentonSans Book" w:hAnsi="BentonSans Book"/>
          <w:b/>
          <w:sz w:val="22"/>
          <w:szCs w:val="22"/>
        </w:rPr>
      </w:pPr>
      <w:r w:rsidRPr="009D1113">
        <w:rPr>
          <w:rFonts w:ascii="BentonSans Book" w:hAnsi="BentonSans Book"/>
          <w:b/>
          <w:sz w:val="22"/>
          <w:szCs w:val="22"/>
        </w:rPr>
        <w:t>The Supply of Credit</w:t>
      </w:r>
    </w:p>
    <w:p w14:paraId="07A15EED" w14:textId="12651C61" w:rsidR="009205CC" w:rsidRPr="009D1113" w:rsidRDefault="003C59F8" w:rsidP="009D1113">
      <w:pPr>
        <w:pStyle w:val="NormalWeb"/>
        <w:spacing w:before="120" w:after="120" w:line="360" w:lineRule="auto"/>
        <w:jc w:val="both"/>
        <w:rPr>
          <w:rFonts w:ascii="BentonSans Book" w:hAnsi="BentonSans Book"/>
          <w:sz w:val="22"/>
          <w:szCs w:val="22"/>
        </w:rPr>
      </w:pPr>
      <w:r>
        <w:rPr>
          <w:rFonts w:ascii="BentonSans Book" w:hAnsi="BentonSans Book"/>
          <w:sz w:val="22"/>
          <w:szCs w:val="22"/>
        </w:rPr>
        <w:t xml:space="preserve">During the period under review, new authorized loans grew by </w:t>
      </w:r>
      <w:r w:rsidR="0040442D">
        <w:rPr>
          <w:rFonts w:ascii="BentonSans Book" w:hAnsi="BentonSans Book"/>
          <w:sz w:val="22"/>
          <w:szCs w:val="22"/>
        </w:rPr>
        <w:t>17.2 percent (from FRW 825</w:t>
      </w:r>
      <w:r w:rsidR="003C07A1">
        <w:rPr>
          <w:rFonts w:ascii="BentonSans Book" w:hAnsi="BentonSans Book"/>
          <w:sz w:val="22"/>
          <w:szCs w:val="22"/>
        </w:rPr>
        <w:t>.9</w:t>
      </w:r>
      <w:r w:rsidR="0040442D">
        <w:rPr>
          <w:rFonts w:ascii="BentonSans Book" w:hAnsi="BentonSans Book"/>
          <w:sz w:val="22"/>
          <w:szCs w:val="22"/>
        </w:rPr>
        <w:t xml:space="preserve"> billion in 2017 to FRW 966</w:t>
      </w:r>
      <w:r w:rsidR="003C07A1">
        <w:rPr>
          <w:rFonts w:ascii="BentonSans Book" w:hAnsi="BentonSans Book"/>
          <w:sz w:val="22"/>
          <w:szCs w:val="22"/>
        </w:rPr>
        <w:t>.5</w:t>
      </w:r>
      <w:r w:rsidR="0040442D">
        <w:rPr>
          <w:rFonts w:ascii="BentonSans Book" w:hAnsi="BentonSans Book"/>
          <w:sz w:val="22"/>
          <w:szCs w:val="22"/>
        </w:rPr>
        <w:t xml:space="preserve"> billion in 2018), higher than 4.6 percent recorded in 2017 and </w:t>
      </w:r>
      <w:r w:rsidR="0081385D">
        <w:rPr>
          <w:rFonts w:ascii="BentonSans Book" w:hAnsi="BentonSans Book"/>
          <w:sz w:val="22"/>
          <w:szCs w:val="22"/>
        </w:rPr>
        <w:t xml:space="preserve">the </w:t>
      </w:r>
      <w:r w:rsidR="0040442D">
        <w:rPr>
          <w:rFonts w:ascii="BentonSans Book" w:hAnsi="BentonSans Book"/>
          <w:sz w:val="22"/>
          <w:szCs w:val="22"/>
        </w:rPr>
        <w:t xml:space="preserve">average of 16.2 percent in </w:t>
      </w:r>
      <w:r w:rsidR="009B3642">
        <w:rPr>
          <w:rFonts w:ascii="BentonSans Book" w:hAnsi="BentonSans Book"/>
          <w:sz w:val="22"/>
          <w:szCs w:val="22"/>
        </w:rPr>
        <w:t xml:space="preserve">the </w:t>
      </w:r>
      <w:r w:rsidR="0040442D">
        <w:rPr>
          <w:rFonts w:ascii="BentonSans Book" w:hAnsi="BentonSans Book"/>
          <w:sz w:val="22"/>
          <w:szCs w:val="22"/>
        </w:rPr>
        <w:t xml:space="preserve">last five years. In 2018, banks approved 349,393 </w:t>
      </w:r>
      <w:r w:rsidR="00E75BAA" w:rsidRPr="009D1113">
        <w:rPr>
          <w:rFonts w:ascii="BentonSans Book" w:hAnsi="BentonSans Book"/>
          <w:sz w:val="22"/>
          <w:szCs w:val="22"/>
        </w:rPr>
        <w:t xml:space="preserve">loans worth FRW </w:t>
      </w:r>
      <w:r w:rsidR="0040442D">
        <w:rPr>
          <w:rFonts w:ascii="BentonSans Book" w:hAnsi="BentonSans Book"/>
          <w:sz w:val="22"/>
          <w:szCs w:val="22"/>
        </w:rPr>
        <w:t>966.5 billion, compared to 278,898 loans</w:t>
      </w:r>
      <w:r w:rsidR="00594139">
        <w:rPr>
          <w:rFonts w:ascii="BentonSans Book" w:hAnsi="BentonSans Book"/>
          <w:sz w:val="22"/>
          <w:szCs w:val="22"/>
        </w:rPr>
        <w:t xml:space="preserve"> </w:t>
      </w:r>
      <w:r w:rsidR="0040442D">
        <w:rPr>
          <w:rFonts w:ascii="BentonSans Book" w:hAnsi="BentonSans Book"/>
          <w:sz w:val="22"/>
          <w:szCs w:val="22"/>
        </w:rPr>
        <w:t xml:space="preserve">worth FRW 824.9 </w:t>
      </w:r>
      <w:r w:rsidR="00E75BAA" w:rsidRPr="009D1113">
        <w:rPr>
          <w:rFonts w:ascii="BentonSans Book" w:hAnsi="BentonSans Book"/>
          <w:sz w:val="22"/>
          <w:szCs w:val="22"/>
        </w:rPr>
        <w:t xml:space="preserve">billion that were approved </w:t>
      </w:r>
      <w:r w:rsidR="0040442D">
        <w:rPr>
          <w:rFonts w:ascii="BentonSans Book" w:hAnsi="BentonSans Book"/>
          <w:sz w:val="22"/>
          <w:szCs w:val="22"/>
        </w:rPr>
        <w:t xml:space="preserve">in </w:t>
      </w:r>
      <w:r w:rsidR="00594139">
        <w:rPr>
          <w:rFonts w:ascii="BentonSans Book" w:hAnsi="BentonSans Book"/>
          <w:sz w:val="22"/>
          <w:szCs w:val="22"/>
        </w:rPr>
        <w:t>2017</w:t>
      </w:r>
      <w:r w:rsidR="00594139" w:rsidRPr="009205CC">
        <w:rPr>
          <w:rFonts w:ascii="BentonSans Book" w:hAnsi="BentonSans Book"/>
          <w:sz w:val="22"/>
          <w:szCs w:val="22"/>
        </w:rPr>
        <w:t xml:space="preserve">. The </w:t>
      </w:r>
      <w:r w:rsidR="00B11BEB">
        <w:rPr>
          <w:rFonts w:ascii="BentonSans Book" w:hAnsi="BentonSans Book"/>
          <w:sz w:val="22"/>
          <w:szCs w:val="22"/>
        </w:rPr>
        <w:t>growth of new loans is</w:t>
      </w:r>
      <w:r w:rsidR="00E75BAA" w:rsidRPr="009205CC">
        <w:rPr>
          <w:rFonts w:ascii="BentonSans Book" w:hAnsi="BentonSans Book"/>
          <w:sz w:val="22"/>
          <w:szCs w:val="22"/>
        </w:rPr>
        <w:t xml:space="preserve"> mainly attributable to </w:t>
      </w:r>
      <w:r w:rsidR="00B11BEB">
        <w:rPr>
          <w:rFonts w:ascii="BentonSans Book" w:hAnsi="BentonSans Book"/>
          <w:sz w:val="22"/>
          <w:szCs w:val="22"/>
        </w:rPr>
        <w:t xml:space="preserve">increased </w:t>
      </w:r>
      <w:r w:rsidR="009B4D4A">
        <w:rPr>
          <w:rFonts w:ascii="BentonSans Book" w:hAnsi="BentonSans Book"/>
          <w:sz w:val="22"/>
          <w:szCs w:val="22"/>
        </w:rPr>
        <w:t>lending appetite of banks</w:t>
      </w:r>
      <w:r w:rsidR="005250B6">
        <w:rPr>
          <w:rFonts w:ascii="BentonSans Book" w:hAnsi="BentonSans Book"/>
          <w:sz w:val="22"/>
          <w:szCs w:val="22"/>
        </w:rPr>
        <w:t xml:space="preserve"> especially in the second half of 2018</w:t>
      </w:r>
      <w:r w:rsidR="00B11BEB">
        <w:rPr>
          <w:rFonts w:ascii="BentonSans Book" w:hAnsi="BentonSans Book"/>
          <w:sz w:val="22"/>
          <w:szCs w:val="22"/>
        </w:rPr>
        <w:t>. In this regards</w:t>
      </w:r>
      <w:r w:rsidR="009B4D4A">
        <w:rPr>
          <w:rFonts w:ascii="BentonSans Book" w:hAnsi="BentonSans Book"/>
          <w:sz w:val="22"/>
          <w:szCs w:val="22"/>
        </w:rPr>
        <w:t>, the loan</w:t>
      </w:r>
      <w:r w:rsidR="00960D3E">
        <w:rPr>
          <w:rFonts w:ascii="BentonSans Book" w:hAnsi="BentonSans Book"/>
          <w:sz w:val="22"/>
          <w:szCs w:val="22"/>
        </w:rPr>
        <w:t xml:space="preserve"> </w:t>
      </w:r>
      <w:r w:rsidR="005250B6">
        <w:rPr>
          <w:rFonts w:ascii="BentonSans Book" w:hAnsi="BentonSans Book"/>
          <w:sz w:val="22"/>
          <w:szCs w:val="22"/>
        </w:rPr>
        <w:lastRenderedPageBreak/>
        <w:t>approval rate</w:t>
      </w:r>
      <w:r w:rsidR="00DB6100">
        <w:rPr>
          <w:rFonts w:ascii="BentonSans Book" w:hAnsi="BentonSans Book"/>
          <w:sz w:val="22"/>
          <w:szCs w:val="22"/>
        </w:rPr>
        <w:t xml:space="preserve"> (</w:t>
      </w:r>
      <w:r w:rsidR="0032081D">
        <w:rPr>
          <w:rFonts w:ascii="BentonSans Book" w:hAnsi="BentonSans Book"/>
          <w:sz w:val="22"/>
          <w:szCs w:val="22"/>
        </w:rPr>
        <w:t>which measures the proportion of loans appro</w:t>
      </w:r>
      <w:r w:rsidR="005250B6">
        <w:rPr>
          <w:rFonts w:ascii="BentonSans Book" w:hAnsi="BentonSans Book"/>
          <w:sz w:val="22"/>
          <w:szCs w:val="22"/>
        </w:rPr>
        <w:t>ved vis a vis the total</w:t>
      </w:r>
      <w:r w:rsidR="0032081D">
        <w:rPr>
          <w:rFonts w:ascii="BentonSans Book" w:hAnsi="BentonSans Book"/>
          <w:sz w:val="22"/>
          <w:szCs w:val="22"/>
        </w:rPr>
        <w:t xml:space="preserve"> loans applied</w:t>
      </w:r>
      <w:r w:rsidR="00DB6100">
        <w:rPr>
          <w:rFonts w:ascii="BentonSans Book" w:hAnsi="BentonSans Book"/>
          <w:sz w:val="22"/>
          <w:szCs w:val="22"/>
        </w:rPr>
        <w:t xml:space="preserve">), </w:t>
      </w:r>
      <w:r w:rsidR="009B4D4A">
        <w:rPr>
          <w:rFonts w:ascii="BentonSans Book" w:hAnsi="BentonSans Book"/>
          <w:sz w:val="22"/>
          <w:szCs w:val="22"/>
        </w:rPr>
        <w:t>in</w:t>
      </w:r>
      <w:r w:rsidR="0032081D">
        <w:rPr>
          <w:rFonts w:ascii="BentonSans Book" w:hAnsi="BentonSans Book"/>
          <w:sz w:val="22"/>
          <w:szCs w:val="22"/>
        </w:rPr>
        <w:t xml:space="preserve">creased </w:t>
      </w:r>
      <w:r w:rsidR="001A04E0">
        <w:rPr>
          <w:rFonts w:ascii="BentonSans Book" w:hAnsi="BentonSans Book"/>
          <w:sz w:val="22"/>
          <w:szCs w:val="22"/>
        </w:rPr>
        <w:t>from 69</w:t>
      </w:r>
      <w:r w:rsidR="0032081D">
        <w:rPr>
          <w:rFonts w:ascii="BentonSans Book" w:hAnsi="BentonSans Book"/>
          <w:sz w:val="22"/>
          <w:szCs w:val="22"/>
        </w:rPr>
        <w:t xml:space="preserve"> percent</w:t>
      </w:r>
      <w:r w:rsidR="009B4D4A">
        <w:rPr>
          <w:rFonts w:ascii="BentonSans Book" w:hAnsi="BentonSans Book"/>
          <w:sz w:val="22"/>
          <w:szCs w:val="22"/>
        </w:rPr>
        <w:t xml:space="preserve"> </w:t>
      </w:r>
      <w:r w:rsidR="0032081D">
        <w:rPr>
          <w:rFonts w:ascii="BentonSans Book" w:hAnsi="BentonSans Book"/>
          <w:sz w:val="22"/>
          <w:szCs w:val="22"/>
        </w:rPr>
        <w:t xml:space="preserve">in 2017 to </w:t>
      </w:r>
      <w:r w:rsidR="001A04E0">
        <w:rPr>
          <w:rFonts w:ascii="BentonSans Book" w:hAnsi="BentonSans Book"/>
          <w:sz w:val="22"/>
          <w:szCs w:val="22"/>
        </w:rPr>
        <w:t xml:space="preserve">78.1 </w:t>
      </w:r>
      <w:r w:rsidR="0032081D">
        <w:rPr>
          <w:rFonts w:ascii="BentonSans Book" w:hAnsi="BentonSans Book"/>
          <w:sz w:val="22"/>
          <w:szCs w:val="22"/>
        </w:rPr>
        <w:t xml:space="preserve">percent in 2018 in </w:t>
      </w:r>
      <w:r w:rsidR="001A04E0">
        <w:rPr>
          <w:rFonts w:ascii="BentonSans Book" w:hAnsi="BentonSans Book"/>
          <w:sz w:val="22"/>
          <w:szCs w:val="22"/>
        </w:rPr>
        <w:t>value and</w:t>
      </w:r>
      <w:r w:rsidR="0032081D">
        <w:rPr>
          <w:rFonts w:ascii="BentonSans Book" w:hAnsi="BentonSans Book"/>
          <w:sz w:val="22"/>
          <w:szCs w:val="22"/>
        </w:rPr>
        <w:t xml:space="preserve"> </w:t>
      </w:r>
      <w:r w:rsidR="001A04E0">
        <w:rPr>
          <w:rFonts w:ascii="BentonSans Book" w:hAnsi="BentonSans Book"/>
          <w:sz w:val="22"/>
          <w:szCs w:val="22"/>
        </w:rPr>
        <w:t xml:space="preserve">from 87.7 </w:t>
      </w:r>
      <w:r w:rsidR="0032081D">
        <w:rPr>
          <w:rFonts w:ascii="BentonSans Book" w:hAnsi="BentonSans Book"/>
          <w:sz w:val="22"/>
          <w:szCs w:val="22"/>
        </w:rPr>
        <w:t xml:space="preserve">percent in 2017 to </w:t>
      </w:r>
      <w:r w:rsidR="001A04E0">
        <w:rPr>
          <w:rFonts w:ascii="BentonSans Book" w:hAnsi="BentonSans Book"/>
          <w:sz w:val="22"/>
          <w:szCs w:val="22"/>
        </w:rPr>
        <w:t xml:space="preserve">92.8 </w:t>
      </w:r>
      <w:r w:rsidR="0032081D">
        <w:rPr>
          <w:rFonts w:ascii="BentonSans Book" w:hAnsi="BentonSans Book"/>
          <w:sz w:val="22"/>
          <w:szCs w:val="22"/>
        </w:rPr>
        <w:t>percent in 2018 in volume.</w:t>
      </w:r>
    </w:p>
    <w:p w14:paraId="54C35B8D" w14:textId="77777777" w:rsidR="00E75BAA" w:rsidRPr="009D1113" w:rsidRDefault="00E75BAA" w:rsidP="009D1113">
      <w:pPr>
        <w:pStyle w:val="NormalWeb"/>
        <w:spacing w:before="120" w:after="120" w:line="360" w:lineRule="auto"/>
        <w:rPr>
          <w:rFonts w:ascii="BentonSans Book" w:hAnsi="BentonSans Book"/>
          <w:b/>
          <w:sz w:val="22"/>
          <w:szCs w:val="22"/>
        </w:rPr>
      </w:pPr>
      <w:r w:rsidRPr="009D1113">
        <w:rPr>
          <w:rFonts w:ascii="BentonSans Book" w:hAnsi="BentonSans Book"/>
          <w:b/>
          <w:sz w:val="22"/>
          <w:szCs w:val="22"/>
        </w:rPr>
        <w:t>Figure 1: New Authorized Loans by Banks</w:t>
      </w:r>
    </w:p>
    <w:p w14:paraId="659C0590" w14:textId="77777777" w:rsidR="00E75BAA" w:rsidRPr="002A006E" w:rsidRDefault="002C44F1" w:rsidP="002A006E">
      <w:pPr>
        <w:pStyle w:val="NormalWeb"/>
        <w:spacing w:before="120" w:after="120" w:line="360" w:lineRule="auto"/>
        <w:jc w:val="center"/>
        <w:rPr>
          <w:rFonts w:ascii="BentonSans Book" w:hAnsi="BentonSans Book"/>
          <w:b/>
          <w:color w:val="0070C0"/>
          <w:sz w:val="32"/>
          <w:szCs w:val="22"/>
        </w:rPr>
      </w:pPr>
      <w:r w:rsidRPr="002A006E">
        <w:rPr>
          <w:rFonts w:ascii="BentonSans Book" w:hAnsi="BentonSans Book"/>
          <w:b/>
          <w:noProof/>
          <w:color w:val="0070C0"/>
          <w:sz w:val="32"/>
          <w:szCs w:val="22"/>
        </w:rPr>
        <mc:AlternateContent>
          <mc:Choice Requires="wps">
            <w:drawing>
              <wp:anchor distT="0" distB="0" distL="114300" distR="114300" simplePos="0" relativeHeight="251691008" behindDoc="0" locked="0" layoutInCell="1" allowOverlap="1" wp14:anchorId="0577FD3E" wp14:editId="673AED71">
                <wp:simplePos x="0" y="0"/>
                <wp:positionH relativeFrom="margin">
                  <wp:posOffset>28575</wp:posOffset>
                </wp:positionH>
                <wp:positionV relativeFrom="paragraph">
                  <wp:posOffset>17780</wp:posOffset>
                </wp:positionV>
                <wp:extent cx="6000750" cy="307657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6000750" cy="3076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3E1174E" w14:textId="77777777" w:rsidR="00E75BAA" w:rsidRDefault="00E75BAA" w:rsidP="00E75BAA">
                            <w:r>
                              <w:t xml:space="preserve">   </w:t>
                            </w:r>
                            <w:r w:rsidR="00756984" w:rsidRPr="00594139">
                              <w:rPr>
                                <w:noProof/>
                              </w:rPr>
                              <w:drawing>
                                <wp:inline distT="0" distB="0" distL="0" distR="0" wp14:anchorId="0724B698" wp14:editId="267D87D6">
                                  <wp:extent cx="2790825" cy="2971800"/>
                                  <wp:effectExtent l="0" t="0" r="9525"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594139">
                              <w:t xml:space="preserve"> </w:t>
                            </w:r>
                            <w:r>
                              <w:t xml:space="preserve"> </w:t>
                            </w:r>
                            <w:r w:rsidR="00756984" w:rsidRPr="00756984">
                              <w:rPr>
                                <w:noProof/>
                              </w:rPr>
                              <w:drawing>
                                <wp:inline distT="0" distB="0" distL="0" distR="0" wp14:anchorId="38D0F36F" wp14:editId="4317C93C">
                                  <wp:extent cx="2800350" cy="2962275"/>
                                  <wp:effectExtent l="0" t="0" r="9525"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42081" id="Text Box 1" o:spid="_x0000_s1028" type="#_x0000_t202" style="position:absolute;left:0;text-align:left;margin-left:2.25pt;margin-top:1.4pt;width:472.5pt;height:242.2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" fillcolor="white [3201]" strokeweight=".5pt">
                <v:textbox>
                  <w:txbxContent>
                    <w:p w:rsidR="00E75BAA" w:rsidRDefault="00E75BAA" w:rsidP="00E75BAA">
                      <w:r>
                        <w:t xml:space="preserve">   </w:t>
                      </w:r>
                      <w:r w:rsidR="00756984" w:rsidRPr="00594139">
                        <w:rPr>
                          <w:noProof/>
                        </w:rPr>
                        <w:drawing>
                          <wp:inline distT="0" distB="0" distL="0" distR="0" wp14:anchorId="79339DD6" wp14:editId="4C3B213D">
                            <wp:extent cx="2790825" cy="2971800"/>
                            <wp:effectExtent l="0" t="0" r="9525"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594139">
                        <w:t xml:space="preserve"> </w:t>
                      </w:r>
                      <w:r>
                        <w:t xml:space="preserve"> </w:t>
                      </w:r>
                      <w:r w:rsidR="00756984" w:rsidRPr="00756984">
                        <w:rPr>
                          <w:noProof/>
                        </w:rPr>
                        <w:drawing>
                          <wp:inline distT="0" distB="0" distL="0" distR="0" wp14:anchorId="266C99C3" wp14:editId="1B5C2A93">
                            <wp:extent cx="2800350" cy="2962275"/>
                            <wp:effectExtent l="0" t="0" r="9525"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xbxContent>
                </v:textbox>
                <w10:wrap anchorx="margin"/>
              </v:shape>
            </w:pict>
          </mc:Fallback>
        </mc:AlternateContent>
      </w:r>
      <w:r w:rsidR="00756984">
        <w:rPr>
          <w:rFonts w:ascii="BentonSans Book" w:hAnsi="BentonSans Book"/>
          <w:b/>
          <w:noProof/>
          <w:color w:val="0070C0"/>
          <w:sz w:val="32"/>
          <w:szCs w:val="22"/>
        </w:rPr>
        <mc:AlternateContent>
          <mc:Choice Requires="wps">
            <w:drawing>
              <wp:anchor distT="0" distB="0" distL="114300" distR="114300" simplePos="0" relativeHeight="251696128" behindDoc="0" locked="0" layoutInCell="1" allowOverlap="1" wp14:anchorId="5AB3F18C" wp14:editId="44467E79">
                <wp:simplePos x="0" y="0"/>
                <wp:positionH relativeFrom="column">
                  <wp:posOffset>4886325</wp:posOffset>
                </wp:positionH>
                <wp:positionV relativeFrom="paragraph">
                  <wp:posOffset>271780</wp:posOffset>
                </wp:positionV>
                <wp:extent cx="962025" cy="1885950"/>
                <wp:effectExtent l="0" t="0" r="28575" b="19050"/>
                <wp:wrapNone/>
                <wp:docPr id="16" name="Oval 16"/>
                <wp:cNvGraphicFramePr/>
                <a:graphic xmlns:a="http://schemas.openxmlformats.org/drawingml/2006/main">
                  <a:graphicData uri="http://schemas.microsoft.com/office/word/2010/wordprocessingShape">
                    <wps:wsp>
                      <wps:cNvSpPr/>
                      <wps:spPr>
                        <a:xfrm>
                          <a:off x="0" y="0"/>
                          <a:ext cx="962025" cy="1885950"/>
                        </a:xfrm>
                        <a:prstGeom prst="ellipse">
                          <a:avLst/>
                        </a:prstGeom>
                        <a:noFill/>
                        <a:ln>
                          <a:solidFill>
                            <a:srgbClr val="C0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AC4142" id="Oval 16" o:spid="_x0000_s1026" style="position:absolute;margin-left:384.75pt;margin-top:21.4pt;width:75.75pt;height:14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" filled="f" strokecolor="#c00000" strokeweight="1pt">
                <v:stroke dashstyle="dash" joinstyle="miter"/>
              </v:oval>
            </w:pict>
          </mc:Fallback>
        </mc:AlternateContent>
      </w:r>
    </w:p>
    <w:p w14:paraId="2D8E613F" w14:textId="77777777" w:rsidR="00E75BAA" w:rsidRPr="002A006E" w:rsidRDefault="00E75BAA" w:rsidP="002A006E">
      <w:pPr>
        <w:pStyle w:val="NormalWeb"/>
        <w:spacing w:before="120" w:after="120" w:line="360" w:lineRule="auto"/>
        <w:jc w:val="center"/>
        <w:rPr>
          <w:rFonts w:ascii="BentonSans Book" w:hAnsi="BentonSans Book"/>
          <w:b/>
          <w:color w:val="0070C0"/>
          <w:sz w:val="32"/>
          <w:szCs w:val="22"/>
        </w:rPr>
      </w:pPr>
    </w:p>
    <w:p w14:paraId="4A3571FF" w14:textId="77777777" w:rsidR="00E75BAA" w:rsidRPr="002A006E" w:rsidRDefault="00E75BAA" w:rsidP="002A006E">
      <w:pPr>
        <w:pStyle w:val="NormalWeb"/>
        <w:spacing w:before="120" w:after="120" w:line="360" w:lineRule="auto"/>
        <w:jc w:val="center"/>
        <w:rPr>
          <w:rFonts w:ascii="BentonSans Book" w:hAnsi="BentonSans Book"/>
          <w:b/>
          <w:color w:val="0070C0"/>
          <w:sz w:val="32"/>
          <w:szCs w:val="22"/>
        </w:rPr>
      </w:pPr>
    </w:p>
    <w:p w14:paraId="7F6321BE" w14:textId="77777777" w:rsidR="00E75BAA" w:rsidRPr="002A006E" w:rsidRDefault="00E75BAA" w:rsidP="002A006E">
      <w:pPr>
        <w:pStyle w:val="NormalWeb"/>
        <w:spacing w:before="120" w:after="120" w:line="360" w:lineRule="auto"/>
        <w:jc w:val="center"/>
        <w:rPr>
          <w:rFonts w:ascii="BentonSans Book" w:hAnsi="BentonSans Book"/>
          <w:b/>
          <w:color w:val="0070C0"/>
          <w:sz w:val="32"/>
          <w:szCs w:val="22"/>
        </w:rPr>
      </w:pPr>
    </w:p>
    <w:p w14:paraId="19127BA0" w14:textId="77777777" w:rsidR="00E75BAA" w:rsidRPr="002A006E" w:rsidRDefault="00E75BAA" w:rsidP="002A006E">
      <w:pPr>
        <w:pStyle w:val="NormalWeb"/>
        <w:spacing w:before="120" w:after="120" w:line="360" w:lineRule="auto"/>
        <w:jc w:val="center"/>
        <w:rPr>
          <w:rFonts w:ascii="BentonSans Book" w:hAnsi="BentonSans Book"/>
          <w:b/>
          <w:color w:val="0070C0"/>
          <w:sz w:val="32"/>
          <w:szCs w:val="22"/>
        </w:rPr>
      </w:pPr>
    </w:p>
    <w:p w14:paraId="751D5781" w14:textId="77777777" w:rsidR="00594139" w:rsidRDefault="00594139" w:rsidP="009D1113">
      <w:pPr>
        <w:pStyle w:val="NormalWeb"/>
        <w:spacing w:before="120" w:after="120" w:line="360" w:lineRule="auto"/>
        <w:rPr>
          <w:rFonts w:ascii="BentonSans Book" w:hAnsi="BentonSans Book"/>
          <w:b/>
          <w:sz w:val="22"/>
          <w:szCs w:val="22"/>
        </w:rPr>
      </w:pPr>
    </w:p>
    <w:p w14:paraId="01B2DA6A" w14:textId="77777777" w:rsidR="00594139" w:rsidRDefault="00594139" w:rsidP="009D1113">
      <w:pPr>
        <w:pStyle w:val="NormalWeb"/>
        <w:spacing w:before="120" w:after="120" w:line="360" w:lineRule="auto"/>
        <w:rPr>
          <w:rFonts w:ascii="BentonSans Book" w:hAnsi="BentonSans Book"/>
          <w:b/>
          <w:sz w:val="22"/>
          <w:szCs w:val="22"/>
        </w:rPr>
      </w:pPr>
    </w:p>
    <w:p w14:paraId="4571D35F" w14:textId="77777777" w:rsidR="00594139" w:rsidRDefault="00594139" w:rsidP="009D1113">
      <w:pPr>
        <w:pStyle w:val="NormalWeb"/>
        <w:spacing w:before="120" w:after="120" w:line="360" w:lineRule="auto"/>
        <w:rPr>
          <w:rFonts w:ascii="BentonSans Book" w:hAnsi="BentonSans Book"/>
          <w:b/>
          <w:sz w:val="22"/>
          <w:szCs w:val="22"/>
        </w:rPr>
      </w:pPr>
    </w:p>
    <w:p w14:paraId="3AC6CC90" w14:textId="77777777" w:rsidR="00E75BAA" w:rsidRPr="009D1113" w:rsidRDefault="00E75BAA" w:rsidP="009D1113">
      <w:pPr>
        <w:pStyle w:val="NormalWeb"/>
        <w:spacing w:before="120" w:after="120" w:line="360" w:lineRule="auto"/>
        <w:rPr>
          <w:rFonts w:ascii="BentonSans Book" w:hAnsi="BentonSans Book"/>
          <w:sz w:val="22"/>
          <w:szCs w:val="22"/>
        </w:rPr>
      </w:pPr>
      <w:r w:rsidRPr="009D1113">
        <w:rPr>
          <w:rFonts w:ascii="BentonSans Book" w:hAnsi="BentonSans Book"/>
          <w:b/>
          <w:sz w:val="22"/>
          <w:szCs w:val="22"/>
        </w:rPr>
        <w:t>Source:</w:t>
      </w:r>
      <w:r w:rsidRPr="009D1113">
        <w:rPr>
          <w:rFonts w:ascii="BentonSans Book" w:hAnsi="BentonSans Book"/>
          <w:sz w:val="22"/>
          <w:szCs w:val="22"/>
        </w:rPr>
        <w:t xml:space="preserve"> Credit Survey Findings</w:t>
      </w:r>
    </w:p>
    <w:p w14:paraId="0C723DC9" w14:textId="574C72CB" w:rsidR="00DB39ED" w:rsidRDefault="009B3642" w:rsidP="00BA7212">
      <w:pPr>
        <w:pStyle w:val="NormalWeb"/>
        <w:spacing w:before="120" w:after="120" w:line="360" w:lineRule="auto"/>
        <w:jc w:val="both"/>
        <w:rPr>
          <w:rFonts w:ascii="BentonSans Book" w:hAnsi="BentonSans Book"/>
          <w:sz w:val="22"/>
          <w:szCs w:val="22"/>
        </w:rPr>
      </w:pPr>
      <w:r>
        <w:rPr>
          <w:rFonts w:ascii="BentonSans Book" w:hAnsi="BentonSans Book"/>
          <w:sz w:val="22"/>
          <w:szCs w:val="22"/>
        </w:rPr>
        <w:t xml:space="preserve">Like </w:t>
      </w:r>
      <w:r w:rsidR="006A1D4E">
        <w:rPr>
          <w:rFonts w:ascii="BentonSans Book" w:hAnsi="BentonSans Book"/>
          <w:sz w:val="22"/>
          <w:szCs w:val="22"/>
        </w:rPr>
        <w:t xml:space="preserve">in the previous year, the </w:t>
      </w:r>
      <w:r w:rsidR="00AF6467">
        <w:rPr>
          <w:rFonts w:ascii="BentonSans Book" w:hAnsi="BentonSans Book"/>
          <w:sz w:val="22"/>
          <w:szCs w:val="22"/>
        </w:rPr>
        <w:t>financing of transport and</w:t>
      </w:r>
      <w:r w:rsidR="006A1D4E">
        <w:rPr>
          <w:rFonts w:ascii="BentonSans Book" w:hAnsi="BentonSans Book"/>
          <w:sz w:val="22"/>
          <w:szCs w:val="22"/>
        </w:rPr>
        <w:t xml:space="preserve"> communication sector</w:t>
      </w:r>
      <w:r w:rsidR="00AF6467">
        <w:rPr>
          <w:rFonts w:ascii="BentonSans Book" w:hAnsi="BentonSans Book"/>
          <w:sz w:val="22"/>
          <w:szCs w:val="22"/>
        </w:rPr>
        <w:t xml:space="preserve"> continued to shape</w:t>
      </w:r>
      <w:r w:rsidR="00931CDF">
        <w:rPr>
          <w:rFonts w:ascii="BentonSans Book" w:hAnsi="BentonSans Book"/>
          <w:sz w:val="22"/>
          <w:szCs w:val="22"/>
        </w:rPr>
        <w:t xml:space="preserve"> up. N</w:t>
      </w:r>
      <w:r w:rsidR="00AF6467">
        <w:rPr>
          <w:rFonts w:ascii="BentonSans Book" w:hAnsi="BentonSans Book"/>
          <w:sz w:val="22"/>
          <w:szCs w:val="22"/>
        </w:rPr>
        <w:t>ew loans in transport and communication sector increased by 91.8 percent from FRW 73.5 billion in 2017 to FRW 141.1 billion in</w:t>
      </w:r>
      <w:r w:rsidR="00FC5C2F">
        <w:rPr>
          <w:rFonts w:ascii="BentonSans Book" w:hAnsi="BentonSans Book"/>
          <w:sz w:val="22"/>
          <w:szCs w:val="22"/>
        </w:rPr>
        <w:t xml:space="preserve"> 2018 making </w:t>
      </w:r>
      <w:r w:rsidR="00931CDF">
        <w:rPr>
          <w:rFonts w:ascii="BentonSans Book" w:hAnsi="BentonSans Book"/>
          <w:sz w:val="22"/>
          <w:szCs w:val="22"/>
        </w:rPr>
        <w:t xml:space="preserve">it </w:t>
      </w:r>
      <w:r w:rsidR="00FC5C2F">
        <w:rPr>
          <w:rFonts w:ascii="BentonSans Book" w:hAnsi="BentonSans Book"/>
          <w:sz w:val="22"/>
          <w:szCs w:val="22"/>
        </w:rPr>
        <w:t>the th</w:t>
      </w:r>
      <w:r w:rsidR="00902E50">
        <w:rPr>
          <w:rFonts w:ascii="BentonSans Book" w:hAnsi="BentonSans Book"/>
          <w:sz w:val="22"/>
          <w:szCs w:val="22"/>
        </w:rPr>
        <w:t>ird most financed sector</w:t>
      </w:r>
      <w:r w:rsidR="00931CDF">
        <w:rPr>
          <w:rFonts w:ascii="BentonSans Book" w:hAnsi="BentonSans Book"/>
          <w:sz w:val="22"/>
          <w:szCs w:val="22"/>
        </w:rPr>
        <w:t xml:space="preserve"> following</w:t>
      </w:r>
      <w:r w:rsidR="00AF6467">
        <w:rPr>
          <w:rFonts w:ascii="BentonSans Book" w:hAnsi="BentonSans Book"/>
          <w:sz w:val="22"/>
          <w:szCs w:val="22"/>
        </w:rPr>
        <w:t xml:space="preserve"> mortgage and trade</w:t>
      </w:r>
      <w:r w:rsidR="000E5BAD">
        <w:rPr>
          <w:rFonts w:ascii="BentonSans Book" w:hAnsi="BentonSans Book"/>
          <w:sz w:val="22"/>
          <w:szCs w:val="22"/>
        </w:rPr>
        <w:t xml:space="preserve"> sectors</w:t>
      </w:r>
      <w:r w:rsidR="00AF6467">
        <w:rPr>
          <w:rFonts w:ascii="BentonSans Book" w:hAnsi="BentonSans Book"/>
          <w:sz w:val="22"/>
          <w:szCs w:val="22"/>
        </w:rPr>
        <w:t xml:space="preserve">. </w:t>
      </w:r>
      <w:r w:rsidR="00CC06F0" w:rsidRPr="009D1113">
        <w:rPr>
          <w:rFonts w:ascii="BentonSans Book" w:hAnsi="BentonSans Book"/>
          <w:sz w:val="22"/>
          <w:szCs w:val="22"/>
        </w:rPr>
        <w:t xml:space="preserve">The growth of new loans </w:t>
      </w:r>
      <w:r w:rsidR="00AF6467">
        <w:rPr>
          <w:rFonts w:ascii="BentonSans Book" w:hAnsi="BentonSans Book"/>
          <w:sz w:val="22"/>
          <w:szCs w:val="22"/>
        </w:rPr>
        <w:t xml:space="preserve">also </w:t>
      </w:r>
      <w:r w:rsidR="00CC06F0" w:rsidRPr="009D1113">
        <w:rPr>
          <w:rFonts w:ascii="BentonSans Book" w:hAnsi="BentonSans Book"/>
          <w:sz w:val="22"/>
          <w:szCs w:val="22"/>
        </w:rPr>
        <w:t>improve</w:t>
      </w:r>
      <w:r w:rsidR="00AF6467">
        <w:rPr>
          <w:rFonts w:ascii="BentonSans Book" w:hAnsi="BentonSans Book"/>
          <w:sz w:val="22"/>
          <w:szCs w:val="22"/>
        </w:rPr>
        <w:t xml:space="preserve">d for consumer loans (from 16.6 percent to 17.6 </w:t>
      </w:r>
      <w:r w:rsidR="00CC06F0" w:rsidRPr="009D1113">
        <w:rPr>
          <w:rFonts w:ascii="BentonSans Book" w:hAnsi="BentonSans Book"/>
          <w:sz w:val="22"/>
          <w:szCs w:val="22"/>
        </w:rPr>
        <w:t>p</w:t>
      </w:r>
      <w:r w:rsidR="00AF6467">
        <w:rPr>
          <w:rFonts w:ascii="BentonSans Book" w:hAnsi="BentonSans Book"/>
          <w:sz w:val="22"/>
          <w:szCs w:val="22"/>
        </w:rPr>
        <w:t>ercent), agriculture (from -23.5 percent to 27.2</w:t>
      </w:r>
      <w:r w:rsidR="00CC06F0" w:rsidRPr="009D1113">
        <w:rPr>
          <w:rFonts w:ascii="BentonSans Book" w:hAnsi="BentonSans Book"/>
          <w:sz w:val="22"/>
          <w:szCs w:val="22"/>
        </w:rPr>
        <w:t xml:space="preserve"> pe</w:t>
      </w:r>
      <w:r w:rsidR="00AF6467">
        <w:rPr>
          <w:rFonts w:ascii="BentonSans Book" w:hAnsi="BentonSans Book"/>
          <w:sz w:val="22"/>
          <w:szCs w:val="22"/>
        </w:rPr>
        <w:t>rcent), manufacturing (from -5.7 percent to 17.2</w:t>
      </w:r>
      <w:r w:rsidR="00CC06F0" w:rsidRPr="009D1113">
        <w:rPr>
          <w:rFonts w:ascii="BentonSans Book" w:hAnsi="BentonSans Book"/>
          <w:sz w:val="22"/>
          <w:szCs w:val="22"/>
        </w:rPr>
        <w:t xml:space="preserve"> percent)</w:t>
      </w:r>
      <w:r w:rsidR="00FC5C2F">
        <w:rPr>
          <w:rFonts w:ascii="BentonSans Book" w:hAnsi="BentonSans Book"/>
          <w:sz w:val="22"/>
          <w:szCs w:val="22"/>
        </w:rPr>
        <w:t xml:space="preserve">, trade (from 8 percent to 9.8 percent) </w:t>
      </w:r>
      <w:r w:rsidR="00FC5C2F" w:rsidRPr="009D1113">
        <w:rPr>
          <w:rFonts w:ascii="BentonSans Book" w:hAnsi="BentonSans Book"/>
          <w:sz w:val="22"/>
          <w:szCs w:val="22"/>
        </w:rPr>
        <w:t>and</w:t>
      </w:r>
      <w:r w:rsidR="00CC06F0" w:rsidRPr="009D1113">
        <w:rPr>
          <w:rFonts w:ascii="BentonSans Book" w:hAnsi="BentonSans Book"/>
          <w:sz w:val="22"/>
          <w:szCs w:val="22"/>
        </w:rPr>
        <w:t xml:space="preserve"> </w:t>
      </w:r>
      <w:r w:rsidR="00AF6467">
        <w:rPr>
          <w:rFonts w:ascii="BentonSans Book" w:hAnsi="BentonSans Book"/>
          <w:sz w:val="22"/>
          <w:szCs w:val="22"/>
        </w:rPr>
        <w:t xml:space="preserve">in </w:t>
      </w:r>
      <w:r w:rsidR="000E5BAD">
        <w:rPr>
          <w:rFonts w:ascii="BentonSans Book" w:hAnsi="BentonSans Book"/>
          <w:sz w:val="22"/>
          <w:szCs w:val="22"/>
        </w:rPr>
        <w:t>“</w:t>
      </w:r>
      <w:r w:rsidR="00AF6467">
        <w:rPr>
          <w:rFonts w:ascii="BentonSans Book" w:hAnsi="BentonSans Book"/>
          <w:sz w:val="22"/>
          <w:szCs w:val="22"/>
        </w:rPr>
        <w:t>other service</w:t>
      </w:r>
      <w:r w:rsidR="000E5BAD">
        <w:rPr>
          <w:rFonts w:ascii="BentonSans Book" w:hAnsi="BentonSans Book"/>
          <w:sz w:val="22"/>
          <w:szCs w:val="22"/>
        </w:rPr>
        <w:t>”</w:t>
      </w:r>
      <w:r w:rsidR="000E5BAD">
        <w:rPr>
          <w:rStyle w:val="FootnoteReference"/>
          <w:rFonts w:ascii="BentonSans Book" w:hAnsi="BentonSans Book"/>
          <w:sz w:val="22"/>
          <w:szCs w:val="22"/>
        </w:rPr>
        <w:footnoteReference w:id="3"/>
      </w:r>
      <w:r w:rsidR="00AF6467">
        <w:rPr>
          <w:rFonts w:ascii="BentonSans Book" w:hAnsi="BentonSans Book"/>
          <w:sz w:val="22"/>
          <w:szCs w:val="22"/>
        </w:rPr>
        <w:t xml:space="preserve"> (from -10.5 percent to 51.5</w:t>
      </w:r>
      <w:r w:rsidR="00CC06F0" w:rsidRPr="009D1113">
        <w:rPr>
          <w:rFonts w:ascii="BentonSans Book" w:hAnsi="BentonSans Book"/>
          <w:sz w:val="22"/>
          <w:szCs w:val="22"/>
        </w:rPr>
        <w:t xml:space="preserve"> percent). </w:t>
      </w:r>
      <w:r w:rsidR="00AF6467">
        <w:rPr>
          <w:rFonts w:ascii="BentonSans Book" w:hAnsi="BentonSans Book"/>
          <w:sz w:val="22"/>
          <w:szCs w:val="22"/>
        </w:rPr>
        <w:t xml:space="preserve">However, </w:t>
      </w:r>
      <w:r w:rsidR="000E5BAD">
        <w:rPr>
          <w:rFonts w:ascii="BentonSans Book" w:hAnsi="BentonSans Book"/>
          <w:sz w:val="22"/>
          <w:szCs w:val="22"/>
        </w:rPr>
        <w:t>lending appetite reduced in</w:t>
      </w:r>
      <w:r w:rsidR="00931CDF">
        <w:rPr>
          <w:rFonts w:ascii="BentonSans Book" w:hAnsi="BentonSans Book"/>
          <w:sz w:val="22"/>
          <w:szCs w:val="22"/>
        </w:rPr>
        <w:t xml:space="preserve"> </w:t>
      </w:r>
      <w:r w:rsidR="00FC5C2F">
        <w:rPr>
          <w:rFonts w:ascii="BentonSans Book" w:hAnsi="BentonSans Book"/>
          <w:sz w:val="22"/>
          <w:szCs w:val="22"/>
        </w:rPr>
        <w:t xml:space="preserve">mortgage </w:t>
      </w:r>
      <w:r w:rsidR="000E5BAD">
        <w:rPr>
          <w:rFonts w:ascii="BentonSans Book" w:hAnsi="BentonSans Book"/>
          <w:sz w:val="22"/>
          <w:szCs w:val="22"/>
        </w:rPr>
        <w:t>sector, which is</w:t>
      </w:r>
      <w:r w:rsidR="005D7229">
        <w:rPr>
          <w:rFonts w:ascii="BentonSans Book" w:hAnsi="BentonSans Book"/>
          <w:sz w:val="22"/>
          <w:szCs w:val="22"/>
        </w:rPr>
        <w:t xml:space="preserve"> the</w:t>
      </w:r>
      <w:r w:rsidR="000E5BAD">
        <w:rPr>
          <w:rFonts w:ascii="BentonSans Book" w:hAnsi="BentonSans Book"/>
          <w:sz w:val="22"/>
          <w:szCs w:val="22"/>
        </w:rPr>
        <w:t xml:space="preserve"> current</w:t>
      </w:r>
      <w:r w:rsidR="005D7229">
        <w:rPr>
          <w:rFonts w:ascii="BentonSans Book" w:hAnsi="BentonSans Book"/>
          <w:sz w:val="22"/>
          <w:szCs w:val="22"/>
        </w:rPr>
        <w:t xml:space="preserve"> </w:t>
      </w:r>
      <w:r w:rsidR="00404E6D">
        <w:rPr>
          <w:rFonts w:ascii="BentonSans Book" w:hAnsi="BentonSans Book"/>
          <w:sz w:val="22"/>
          <w:szCs w:val="22"/>
        </w:rPr>
        <w:t xml:space="preserve">most </w:t>
      </w:r>
      <w:r w:rsidR="00404E6D" w:rsidRPr="009D1113">
        <w:rPr>
          <w:rFonts w:ascii="BentonSans Book" w:hAnsi="BentonSans Book"/>
          <w:sz w:val="22"/>
          <w:szCs w:val="22"/>
        </w:rPr>
        <w:t>financed</w:t>
      </w:r>
      <w:r w:rsidR="005D7229">
        <w:rPr>
          <w:rFonts w:ascii="BentonSans Book" w:hAnsi="BentonSans Book"/>
          <w:sz w:val="22"/>
          <w:szCs w:val="22"/>
        </w:rPr>
        <w:t xml:space="preserve"> sector</w:t>
      </w:r>
      <w:r w:rsidR="000E5BAD">
        <w:rPr>
          <w:rFonts w:ascii="BentonSans Book" w:hAnsi="BentonSans Book"/>
          <w:sz w:val="22"/>
          <w:szCs w:val="22"/>
        </w:rPr>
        <w:t>. As at</w:t>
      </w:r>
      <w:r w:rsidR="000B3195">
        <w:rPr>
          <w:rFonts w:ascii="BentonSans Book" w:hAnsi="BentonSans Book"/>
          <w:sz w:val="22"/>
          <w:szCs w:val="22"/>
        </w:rPr>
        <w:t xml:space="preserve"> December 2018</w:t>
      </w:r>
      <w:r w:rsidR="005D7229">
        <w:rPr>
          <w:rFonts w:ascii="BentonSans Book" w:hAnsi="BentonSans Book"/>
          <w:sz w:val="22"/>
          <w:szCs w:val="22"/>
        </w:rPr>
        <w:t xml:space="preserve">, new loans </w:t>
      </w:r>
      <w:r w:rsidR="000B3195">
        <w:rPr>
          <w:rFonts w:ascii="BentonSans Book" w:hAnsi="BentonSans Book"/>
          <w:sz w:val="22"/>
          <w:szCs w:val="22"/>
        </w:rPr>
        <w:t xml:space="preserve">in mortgage sector </w:t>
      </w:r>
      <w:r w:rsidR="005D7229">
        <w:rPr>
          <w:rFonts w:ascii="BentonSans Book" w:hAnsi="BentonSans Book"/>
          <w:sz w:val="22"/>
          <w:szCs w:val="22"/>
        </w:rPr>
        <w:t>grew by 9.6 percent</w:t>
      </w:r>
      <w:r w:rsidR="00156F88">
        <w:rPr>
          <w:rFonts w:ascii="BentonSans Book" w:hAnsi="BentonSans Book"/>
          <w:sz w:val="22"/>
          <w:szCs w:val="22"/>
        </w:rPr>
        <w:t xml:space="preserve"> to</w:t>
      </w:r>
      <w:r w:rsidR="005D7229">
        <w:rPr>
          <w:rFonts w:ascii="BentonSans Book" w:hAnsi="BentonSans Book"/>
          <w:sz w:val="22"/>
          <w:szCs w:val="22"/>
        </w:rPr>
        <w:t xml:space="preserve"> FRW 252.9 billion </w:t>
      </w:r>
      <w:r w:rsidR="000B3195">
        <w:rPr>
          <w:rFonts w:ascii="BentonSans Book" w:hAnsi="BentonSans Book"/>
          <w:sz w:val="22"/>
          <w:szCs w:val="22"/>
        </w:rPr>
        <w:t>from FRW 230.7 billion in 2017</w:t>
      </w:r>
      <w:r w:rsidR="005D7229">
        <w:rPr>
          <w:rFonts w:ascii="BentonSans Book" w:hAnsi="BentonSans Book"/>
          <w:sz w:val="22"/>
          <w:szCs w:val="22"/>
        </w:rPr>
        <w:t>, lower than the growth of 18.3 percent observed in prior year.</w:t>
      </w:r>
      <w:r w:rsidR="000B3195">
        <w:rPr>
          <w:rFonts w:ascii="BentonSans Book" w:hAnsi="BentonSans Book"/>
          <w:sz w:val="22"/>
          <w:szCs w:val="22"/>
        </w:rPr>
        <w:t xml:space="preserve"> The deceleration of the growth of new loans in mortgage sector is linked to potential risks perceived in the construction of commercial buildings. </w:t>
      </w:r>
      <w:r w:rsidR="00156F88">
        <w:rPr>
          <w:rFonts w:ascii="BentonSans Book" w:hAnsi="BentonSans Book"/>
          <w:sz w:val="22"/>
          <w:szCs w:val="22"/>
        </w:rPr>
        <w:t>L</w:t>
      </w:r>
      <w:r w:rsidR="00AE4DDD">
        <w:rPr>
          <w:rFonts w:ascii="BentonSans Book" w:hAnsi="BentonSans Book"/>
          <w:sz w:val="22"/>
          <w:szCs w:val="22"/>
        </w:rPr>
        <w:t xml:space="preserve">ending </w:t>
      </w:r>
      <w:r w:rsidR="00156F88">
        <w:rPr>
          <w:rFonts w:ascii="BentonSans Book" w:hAnsi="BentonSans Book"/>
          <w:sz w:val="22"/>
          <w:szCs w:val="22"/>
        </w:rPr>
        <w:t xml:space="preserve">also </w:t>
      </w:r>
      <w:r w:rsidR="00AE4DDD">
        <w:rPr>
          <w:rFonts w:ascii="BentonSans Book" w:hAnsi="BentonSans Book"/>
          <w:sz w:val="22"/>
          <w:szCs w:val="22"/>
        </w:rPr>
        <w:t>continued</w:t>
      </w:r>
      <w:r w:rsidR="005D7229">
        <w:rPr>
          <w:rFonts w:ascii="BentonSans Book" w:hAnsi="BentonSans Book"/>
          <w:sz w:val="22"/>
          <w:szCs w:val="22"/>
        </w:rPr>
        <w:t xml:space="preserve"> to decline in risky sectors like mining and hotels. In </w:t>
      </w:r>
      <w:r w:rsidR="009C06E2">
        <w:rPr>
          <w:rFonts w:ascii="BentonSans Book" w:hAnsi="BentonSans Book"/>
          <w:sz w:val="22"/>
          <w:szCs w:val="22"/>
        </w:rPr>
        <w:t xml:space="preserve">2018, new loans in mining and hotels </w:t>
      </w:r>
      <w:r w:rsidR="00931CDF">
        <w:rPr>
          <w:rFonts w:ascii="BentonSans Book" w:hAnsi="BentonSans Book"/>
          <w:sz w:val="22"/>
          <w:szCs w:val="22"/>
        </w:rPr>
        <w:lastRenderedPageBreak/>
        <w:t>dropped</w:t>
      </w:r>
      <w:r w:rsidR="009C06E2">
        <w:rPr>
          <w:rFonts w:ascii="BentonSans Book" w:hAnsi="BentonSans Book"/>
          <w:sz w:val="22"/>
          <w:szCs w:val="22"/>
        </w:rPr>
        <w:t xml:space="preserve"> by 45.5 percent and 25.5 percent respectively, </w:t>
      </w:r>
      <w:r w:rsidR="00931CDF">
        <w:rPr>
          <w:rFonts w:ascii="BentonSans Book" w:hAnsi="BentonSans Book"/>
          <w:sz w:val="22"/>
          <w:szCs w:val="22"/>
        </w:rPr>
        <w:t xml:space="preserve">in addition </w:t>
      </w:r>
      <w:r w:rsidR="009C06E2">
        <w:rPr>
          <w:rFonts w:ascii="BentonSans Book" w:hAnsi="BentonSans Book"/>
          <w:sz w:val="22"/>
          <w:szCs w:val="22"/>
        </w:rPr>
        <w:t xml:space="preserve">to </w:t>
      </w:r>
      <w:r w:rsidR="00931CDF">
        <w:rPr>
          <w:rFonts w:ascii="BentonSans Book" w:hAnsi="BentonSans Book"/>
          <w:sz w:val="22"/>
          <w:szCs w:val="22"/>
        </w:rPr>
        <w:t xml:space="preserve">the </w:t>
      </w:r>
      <w:r w:rsidR="009C06E2">
        <w:rPr>
          <w:rFonts w:ascii="BentonSans Book" w:hAnsi="BentonSans Book"/>
          <w:sz w:val="22"/>
          <w:szCs w:val="22"/>
        </w:rPr>
        <w:t>contraction of 56.5 percent and 73.8 percent observed in 2017 respectively.</w:t>
      </w:r>
    </w:p>
    <w:p w14:paraId="651FD407" w14:textId="77777777" w:rsidR="00594139" w:rsidRPr="00915396" w:rsidRDefault="00A27F01" w:rsidP="009D1113">
      <w:pPr>
        <w:pStyle w:val="NormalWeb"/>
        <w:spacing w:before="120" w:after="120" w:line="360" w:lineRule="auto"/>
        <w:rPr>
          <w:rFonts w:ascii="BentonSans Book" w:hAnsi="BentonSans Book"/>
          <w:b/>
          <w:color w:val="0070C0"/>
          <w:sz w:val="32"/>
          <w:szCs w:val="22"/>
        </w:rPr>
      </w:pPr>
      <w:r>
        <w:rPr>
          <w:rFonts w:ascii="BentonSans Book" w:hAnsi="BentonSans Book"/>
          <w:b/>
          <w:sz w:val="22"/>
          <w:szCs w:val="22"/>
        </w:rPr>
        <w:t>Table 2</w:t>
      </w:r>
      <w:r w:rsidR="00CC06F0" w:rsidRPr="009D1113">
        <w:rPr>
          <w:rFonts w:ascii="BentonSans Book" w:hAnsi="BentonSans Book"/>
          <w:b/>
          <w:sz w:val="22"/>
          <w:szCs w:val="22"/>
        </w:rPr>
        <w:t>:</w:t>
      </w:r>
      <w:r w:rsidR="00CC06F0" w:rsidRPr="00CC06F0">
        <w:rPr>
          <w:rFonts w:ascii="BentonSans Book" w:hAnsi="BentonSans Book"/>
          <w:b/>
          <w:sz w:val="22"/>
          <w:szCs w:val="22"/>
        </w:rPr>
        <w:t xml:space="preserve"> </w:t>
      </w:r>
      <w:r w:rsidR="00CC06F0" w:rsidRPr="009D1113">
        <w:rPr>
          <w:rFonts w:ascii="BentonSans Book" w:hAnsi="BentonSans Book"/>
          <w:b/>
          <w:sz w:val="22"/>
          <w:szCs w:val="22"/>
        </w:rPr>
        <w:t>New Authorized Loans by</w:t>
      </w:r>
      <w:r w:rsidR="00915396">
        <w:rPr>
          <w:rFonts w:ascii="BentonSans Book" w:hAnsi="BentonSans Book"/>
          <w:b/>
          <w:sz w:val="22"/>
          <w:szCs w:val="22"/>
        </w:rPr>
        <w:t xml:space="preserve"> Activity Sector</w:t>
      </w:r>
    </w:p>
    <w:p w14:paraId="1115F134" w14:textId="77777777" w:rsidR="00594139" w:rsidRDefault="00915396" w:rsidP="009D1113">
      <w:pPr>
        <w:pStyle w:val="NormalWeb"/>
        <w:spacing w:before="120" w:after="120" w:line="360" w:lineRule="auto"/>
        <w:rPr>
          <w:rFonts w:ascii="BentonSans Book" w:hAnsi="BentonSans Book"/>
          <w:b/>
          <w:sz w:val="22"/>
          <w:szCs w:val="22"/>
        </w:rPr>
      </w:pPr>
      <w:r>
        <w:rPr>
          <w:rFonts w:ascii="BentonSans Book" w:hAnsi="BentonSans Book"/>
          <w:b/>
          <w:noProof/>
          <w:sz w:val="22"/>
          <w:szCs w:val="22"/>
        </w:rPr>
        <w:drawing>
          <wp:inline distT="0" distB="0" distL="0" distR="0" wp14:anchorId="5F6EB009" wp14:editId="34643F6F">
            <wp:extent cx="6165850" cy="3076575"/>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65850" cy="3076575"/>
                    </a:xfrm>
                    <a:prstGeom prst="rect">
                      <a:avLst/>
                    </a:prstGeom>
                    <a:noFill/>
                  </pic:spPr>
                </pic:pic>
              </a:graphicData>
            </a:graphic>
          </wp:inline>
        </w:drawing>
      </w:r>
      <w:r w:rsidRPr="009D1113">
        <w:rPr>
          <w:rFonts w:ascii="BentonSans Book" w:hAnsi="BentonSans Book"/>
          <w:b/>
          <w:sz w:val="22"/>
          <w:szCs w:val="22"/>
        </w:rPr>
        <w:t>Source:</w:t>
      </w:r>
      <w:r w:rsidRPr="009D1113">
        <w:rPr>
          <w:rFonts w:ascii="BentonSans Book" w:hAnsi="BentonSans Book"/>
          <w:sz w:val="22"/>
          <w:szCs w:val="22"/>
        </w:rPr>
        <w:t xml:space="preserve"> Credit Survey Findings</w:t>
      </w:r>
    </w:p>
    <w:p w14:paraId="11CACF06" w14:textId="5AAD6109" w:rsidR="00DB39ED" w:rsidRDefault="000737FB" w:rsidP="00BA5970">
      <w:pPr>
        <w:pStyle w:val="NormalWeb"/>
        <w:spacing w:before="120" w:after="120" w:line="360" w:lineRule="auto"/>
        <w:jc w:val="both"/>
        <w:rPr>
          <w:rFonts w:ascii="BentonSans Book" w:hAnsi="BentonSans Book"/>
          <w:sz w:val="22"/>
          <w:szCs w:val="22"/>
        </w:rPr>
      </w:pPr>
      <w:r>
        <w:rPr>
          <w:rFonts w:ascii="BentonSans Book" w:hAnsi="BentonSans Book"/>
          <w:sz w:val="22"/>
          <w:szCs w:val="22"/>
        </w:rPr>
        <w:t xml:space="preserve">Banks have changed their credit stance in line with </w:t>
      </w:r>
      <w:r w:rsidR="00F16D30">
        <w:rPr>
          <w:rFonts w:ascii="BentonSans Book" w:hAnsi="BentonSans Book"/>
          <w:sz w:val="22"/>
          <w:szCs w:val="22"/>
        </w:rPr>
        <w:t>recent financial stability outlook</w:t>
      </w:r>
      <w:r>
        <w:rPr>
          <w:rFonts w:ascii="BentonSans Book" w:hAnsi="BentonSans Book"/>
          <w:sz w:val="22"/>
          <w:szCs w:val="22"/>
        </w:rPr>
        <w:t xml:space="preserve">. </w:t>
      </w:r>
      <w:r w:rsidR="002E6038">
        <w:rPr>
          <w:rFonts w:ascii="BentonSans Book" w:hAnsi="BentonSans Book"/>
          <w:sz w:val="22"/>
          <w:szCs w:val="22"/>
        </w:rPr>
        <w:t>Though</w:t>
      </w:r>
      <w:r w:rsidR="00404E6D">
        <w:rPr>
          <w:rFonts w:ascii="BentonSans Book" w:hAnsi="BentonSans Book"/>
          <w:sz w:val="22"/>
          <w:szCs w:val="22"/>
        </w:rPr>
        <w:t xml:space="preserve"> t</w:t>
      </w:r>
      <w:r>
        <w:rPr>
          <w:rFonts w:ascii="BentonSans Book" w:hAnsi="BentonSans Book"/>
          <w:sz w:val="22"/>
          <w:szCs w:val="22"/>
        </w:rPr>
        <w:t>he overall rejection rate</w:t>
      </w:r>
      <w:r>
        <w:rPr>
          <w:rStyle w:val="FootnoteReference"/>
          <w:rFonts w:ascii="BentonSans Book" w:hAnsi="BentonSans Book"/>
          <w:sz w:val="22"/>
          <w:szCs w:val="22"/>
        </w:rPr>
        <w:footnoteReference w:id="4"/>
      </w:r>
      <w:r w:rsidR="00404E6D">
        <w:rPr>
          <w:rFonts w:ascii="BentonSans Book" w:hAnsi="BentonSans Book"/>
          <w:sz w:val="22"/>
          <w:szCs w:val="22"/>
        </w:rPr>
        <w:t xml:space="preserve"> decreased (</w:t>
      </w:r>
      <w:r w:rsidR="00BA5970" w:rsidRPr="009D1113">
        <w:rPr>
          <w:rFonts w:ascii="BentonSans Book" w:hAnsi="BentonSans Book"/>
          <w:sz w:val="22"/>
          <w:szCs w:val="22"/>
        </w:rPr>
        <w:t>form</w:t>
      </w:r>
      <w:r w:rsidR="00404E6D">
        <w:rPr>
          <w:rFonts w:ascii="BentonSans Book" w:hAnsi="BentonSans Book"/>
          <w:sz w:val="22"/>
          <w:szCs w:val="22"/>
        </w:rPr>
        <w:t xml:space="preserve"> 31</w:t>
      </w:r>
      <w:r w:rsidR="00BA5970" w:rsidRPr="009D1113">
        <w:rPr>
          <w:rFonts w:ascii="BentonSans Book" w:hAnsi="BentonSans Book"/>
          <w:sz w:val="22"/>
          <w:szCs w:val="22"/>
        </w:rPr>
        <w:t xml:space="preserve"> </w:t>
      </w:r>
      <w:r w:rsidR="00404E6D">
        <w:rPr>
          <w:rFonts w:ascii="BentonSans Book" w:hAnsi="BentonSans Book"/>
          <w:sz w:val="22"/>
          <w:szCs w:val="22"/>
        </w:rPr>
        <w:t xml:space="preserve">percent to 21.9 percent in value and from 12.3 percent to 7.2 percent in volume), it </w:t>
      </w:r>
      <w:r w:rsidR="00BA5970" w:rsidRPr="009D1113">
        <w:rPr>
          <w:rFonts w:ascii="BentonSans Book" w:hAnsi="BentonSans Book"/>
          <w:sz w:val="22"/>
          <w:szCs w:val="22"/>
        </w:rPr>
        <w:t xml:space="preserve">varied </w:t>
      </w:r>
      <w:r w:rsidR="00404E6D">
        <w:rPr>
          <w:rFonts w:ascii="BentonSans Book" w:hAnsi="BentonSans Book"/>
          <w:sz w:val="22"/>
          <w:szCs w:val="22"/>
        </w:rPr>
        <w:t xml:space="preserve">in different sector </w:t>
      </w:r>
      <w:r w:rsidR="00BA5970" w:rsidRPr="009D1113">
        <w:rPr>
          <w:rFonts w:ascii="BentonSans Book" w:hAnsi="BentonSans Book"/>
          <w:sz w:val="22"/>
          <w:szCs w:val="22"/>
        </w:rPr>
        <w:t xml:space="preserve">and generally reflected the risk profile of a particular activity sector. </w:t>
      </w:r>
      <w:r w:rsidR="002E6038">
        <w:rPr>
          <w:rFonts w:ascii="BentonSans Book" w:hAnsi="BentonSans Book"/>
          <w:sz w:val="22"/>
          <w:szCs w:val="22"/>
        </w:rPr>
        <w:t xml:space="preserve">The rejection rate reduced in sectors like agriculture, manufacturing, </w:t>
      </w:r>
      <w:r w:rsidR="00156F88">
        <w:rPr>
          <w:rFonts w:ascii="BentonSans Book" w:hAnsi="BentonSans Book"/>
          <w:sz w:val="22"/>
          <w:szCs w:val="22"/>
        </w:rPr>
        <w:t>trade</w:t>
      </w:r>
      <w:r w:rsidR="00663145">
        <w:rPr>
          <w:rFonts w:ascii="BentonSans Book" w:hAnsi="BentonSans Book"/>
          <w:sz w:val="22"/>
          <w:szCs w:val="22"/>
        </w:rPr>
        <w:t>,</w:t>
      </w:r>
      <w:r w:rsidR="002E6038">
        <w:rPr>
          <w:rFonts w:ascii="BentonSans Book" w:hAnsi="BentonSans Book"/>
          <w:sz w:val="22"/>
          <w:szCs w:val="22"/>
        </w:rPr>
        <w:t xml:space="preserve"> transport and communication and other services, but increased in sectors like mining, mortgage</w:t>
      </w:r>
      <w:r w:rsidR="00156F88">
        <w:rPr>
          <w:rFonts w:ascii="BentonSans Book" w:hAnsi="BentonSans Book"/>
          <w:sz w:val="22"/>
          <w:szCs w:val="22"/>
        </w:rPr>
        <w:t xml:space="preserve"> and</w:t>
      </w:r>
      <w:r w:rsidR="002E6038">
        <w:rPr>
          <w:rFonts w:ascii="BentonSans Book" w:hAnsi="BentonSans Book"/>
          <w:sz w:val="22"/>
          <w:szCs w:val="22"/>
        </w:rPr>
        <w:t xml:space="preserve"> hotels. </w:t>
      </w:r>
      <w:r w:rsidR="001B4322">
        <w:rPr>
          <w:rFonts w:ascii="BentonSans Book" w:hAnsi="BentonSans Book"/>
          <w:sz w:val="22"/>
          <w:szCs w:val="22"/>
        </w:rPr>
        <w:t>In particular, t</w:t>
      </w:r>
      <w:r>
        <w:rPr>
          <w:rFonts w:ascii="BentonSans Book" w:hAnsi="BentonSans Book"/>
          <w:sz w:val="22"/>
          <w:szCs w:val="22"/>
        </w:rPr>
        <w:t>he deceleration</w:t>
      </w:r>
      <w:r w:rsidRPr="006A004A">
        <w:rPr>
          <w:rFonts w:ascii="BentonSans Book" w:hAnsi="BentonSans Book"/>
          <w:sz w:val="22"/>
          <w:szCs w:val="22"/>
        </w:rPr>
        <w:t xml:space="preserve"> of lending in mortgage and hotels </w:t>
      </w:r>
      <w:r>
        <w:rPr>
          <w:rFonts w:ascii="BentonSans Book" w:hAnsi="BentonSans Book"/>
          <w:sz w:val="22"/>
          <w:szCs w:val="22"/>
        </w:rPr>
        <w:t>has a bearing on</w:t>
      </w:r>
      <w:r w:rsidRPr="006A004A">
        <w:rPr>
          <w:rFonts w:ascii="BentonSans Book" w:hAnsi="BentonSans Book"/>
          <w:sz w:val="22"/>
          <w:szCs w:val="22"/>
        </w:rPr>
        <w:t xml:space="preserve"> low occupancy </w:t>
      </w:r>
      <w:r w:rsidR="001B4322">
        <w:rPr>
          <w:rFonts w:ascii="BentonSans Book" w:hAnsi="BentonSans Book"/>
          <w:sz w:val="22"/>
          <w:szCs w:val="22"/>
        </w:rPr>
        <w:t>ra</w:t>
      </w:r>
      <w:r w:rsidRPr="006A004A">
        <w:rPr>
          <w:rFonts w:ascii="BentonSans Book" w:hAnsi="BentonSans Book"/>
          <w:sz w:val="22"/>
          <w:szCs w:val="22"/>
        </w:rPr>
        <w:t xml:space="preserve">te in </w:t>
      </w:r>
      <w:r w:rsidR="001B4322">
        <w:rPr>
          <w:rFonts w:ascii="BentonSans Book" w:hAnsi="BentonSans Book"/>
          <w:sz w:val="22"/>
          <w:szCs w:val="22"/>
        </w:rPr>
        <w:t>hotels</w:t>
      </w:r>
      <w:r w:rsidR="001B4322" w:rsidRPr="006A004A">
        <w:rPr>
          <w:rFonts w:ascii="BentonSans Book" w:hAnsi="BentonSans Book"/>
          <w:sz w:val="22"/>
          <w:szCs w:val="22"/>
        </w:rPr>
        <w:t xml:space="preserve"> </w:t>
      </w:r>
      <w:r w:rsidR="001B4322">
        <w:rPr>
          <w:rFonts w:ascii="BentonSans Book" w:hAnsi="BentonSans Book"/>
          <w:sz w:val="22"/>
          <w:szCs w:val="22"/>
        </w:rPr>
        <w:t xml:space="preserve">and </w:t>
      </w:r>
      <w:r w:rsidRPr="006A004A">
        <w:rPr>
          <w:rFonts w:ascii="BentonSans Book" w:hAnsi="BentonSans Book"/>
          <w:sz w:val="22"/>
          <w:szCs w:val="22"/>
        </w:rPr>
        <w:t>com</w:t>
      </w:r>
      <w:r w:rsidR="001B4322">
        <w:rPr>
          <w:rFonts w:ascii="BentonSans Book" w:hAnsi="BentonSans Book"/>
          <w:sz w:val="22"/>
          <w:szCs w:val="22"/>
        </w:rPr>
        <w:t xml:space="preserve">mercial real estates as it was found out in the survey on commercial real estates and hotels. </w:t>
      </w:r>
      <w:r w:rsidR="00515E0E">
        <w:rPr>
          <w:rFonts w:ascii="BentonSans Book" w:hAnsi="BentonSans Book"/>
          <w:sz w:val="22"/>
          <w:szCs w:val="22"/>
        </w:rPr>
        <w:t>From a sample of top 63 loan applications</w:t>
      </w:r>
      <w:r w:rsidR="00BA5970">
        <w:rPr>
          <w:rFonts w:ascii="BentonSans Book" w:hAnsi="BentonSans Book"/>
          <w:sz w:val="22"/>
          <w:szCs w:val="22"/>
        </w:rPr>
        <w:t xml:space="preserve"> that were rejected</w:t>
      </w:r>
      <w:r w:rsidR="00515E0E">
        <w:rPr>
          <w:rFonts w:ascii="BentonSans Book" w:hAnsi="BentonSans Book"/>
          <w:sz w:val="22"/>
          <w:szCs w:val="22"/>
        </w:rPr>
        <w:t xml:space="preserve"> by banks</w:t>
      </w:r>
      <w:r w:rsidR="00BA5970">
        <w:rPr>
          <w:rFonts w:ascii="BentonSans Book" w:hAnsi="BentonSans Book"/>
          <w:sz w:val="22"/>
          <w:szCs w:val="22"/>
        </w:rPr>
        <w:t>, it emerged that the</w:t>
      </w:r>
      <w:r w:rsidR="001B4322">
        <w:rPr>
          <w:rFonts w:ascii="BentonSans Book" w:hAnsi="BentonSans Book"/>
          <w:sz w:val="22"/>
          <w:szCs w:val="22"/>
        </w:rPr>
        <w:t>y were</w:t>
      </w:r>
      <w:r w:rsidR="00BA5970">
        <w:rPr>
          <w:rFonts w:ascii="BentonSans Book" w:hAnsi="BentonSans Book"/>
          <w:sz w:val="22"/>
          <w:szCs w:val="22"/>
        </w:rPr>
        <w:t xml:space="preserve"> </w:t>
      </w:r>
      <w:r w:rsidR="003A74DF">
        <w:rPr>
          <w:rFonts w:ascii="BentonSans Book" w:hAnsi="BentonSans Book"/>
          <w:sz w:val="22"/>
          <w:szCs w:val="22"/>
        </w:rPr>
        <w:t>concentrated in</w:t>
      </w:r>
      <w:r w:rsidR="00BA5970">
        <w:rPr>
          <w:rFonts w:ascii="BentonSans Book" w:hAnsi="BentonSans Book"/>
          <w:sz w:val="22"/>
          <w:szCs w:val="22"/>
        </w:rPr>
        <w:t xml:space="preserve"> mortgage sector with a share of 53 percent in value.</w:t>
      </w:r>
      <w:r w:rsidR="003A74DF">
        <w:rPr>
          <w:rFonts w:ascii="BentonSans Book" w:hAnsi="BentonSans Book"/>
          <w:sz w:val="22"/>
          <w:szCs w:val="22"/>
        </w:rPr>
        <w:t xml:space="preserve"> </w:t>
      </w:r>
      <w:r w:rsidR="00260733">
        <w:rPr>
          <w:rFonts w:ascii="BentonSans Book" w:hAnsi="BentonSans Book"/>
          <w:sz w:val="22"/>
          <w:szCs w:val="22"/>
        </w:rPr>
        <w:t>From banks’ perspective, t</w:t>
      </w:r>
      <w:r w:rsidR="003A74DF">
        <w:rPr>
          <w:rFonts w:ascii="BentonSans Book" w:hAnsi="BentonSans Book"/>
          <w:sz w:val="22"/>
          <w:szCs w:val="22"/>
        </w:rPr>
        <w:t xml:space="preserve">he main reasons for high rejection rate include weak repayment capacity, inadequate collateral and insufficient own contribution. </w:t>
      </w:r>
    </w:p>
    <w:p w14:paraId="33BBB238" w14:textId="77777777" w:rsidR="00BA5970" w:rsidRPr="009D1113" w:rsidRDefault="00BA5970" w:rsidP="00BA5970">
      <w:pPr>
        <w:pStyle w:val="NormalWeb"/>
        <w:spacing w:before="120" w:after="120" w:line="360" w:lineRule="auto"/>
        <w:rPr>
          <w:rFonts w:ascii="BentonSans Book" w:hAnsi="BentonSans Book"/>
          <w:b/>
          <w:sz w:val="22"/>
          <w:szCs w:val="22"/>
        </w:rPr>
      </w:pPr>
      <w:r w:rsidRPr="009D1113">
        <w:rPr>
          <w:rFonts w:ascii="BentonSans Book" w:hAnsi="BentonSans Book"/>
          <w:b/>
          <w:noProof/>
          <w:sz w:val="22"/>
          <w:szCs w:val="22"/>
        </w:rPr>
        <w:lastRenderedPageBreak/>
        <mc:AlternateContent>
          <mc:Choice Requires="wps">
            <w:drawing>
              <wp:anchor distT="0" distB="0" distL="114300" distR="114300" simplePos="0" relativeHeight="251698176" behindDoc="0" locked="0" layoutInCell="1" allowOverlap="1" wp14:anchorId="04E249F6" wp14:editId="783C2487">
                <wp:simplePos x="0" y="0"/>
                <wp:positionH relativeFrom="margin">
                  <wp:align>right</wp:align>
                </wp:positionH>
                <wp:positionV relativeFrom="paragraph">
                  <wp:posOffset>220346</wp:posOffset>
                </wp:positionV>
                <wp:extent cx="5915025" cy="281940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5915025" cy="2819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B38351F" w14:textId="77777777" w:rsidR="00BA5970" w:rsidRDefault="00BA5970" w:rsidP="00BA5970">
                            <w:r>
                              <w:t xml:space="preserve"> </w:t>
                            </w:r>
                            <w:r w:rsidR="00515E0E" w:rsidRPr="00515E0E">
                              <w:rPr>
                                <w:noProof/>
                              </w:rPr>
                              <w:drawing>
                                <wp:inline distT="0" distB="0" distL="0" distR="0" wp14:anchorId="028FC975" wp14:editId="61304BFE">
                                  <wp:extent cx="2914650" cy="2702560"/>
                                  <wp:effectExtent l="0" t="0" r="0" b="254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FE15B1">
                              <w:t xml:space="preserve"> </w:t>
                            </w:r>
                            <w:r w:rsidR="001A5287" w:rsidRPr="001A5287">
                              <w:rPr>
                                <w:noProof/>
                              </w:rPr>
                              <w:drawing>
                                <wp:inline distT="0" distB="0" distL="0" distR="0" wp14:anchorId="14E03BDA" wp14:editId="7964C5E0">
                                  <wp:extent cx="2731770" cy="2693035"/>
                                  <wp:effectExtent l="0" t="0" r="11430" b="1206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FE3B4" id="Text Box 5" o:spid="_x0000_s1029" type="#_x0000_t202" style="position:absolute;margin-left:414.55pt;margin-top:17.35pt;width:465.75pt;height:222pt;z-index:251698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" fillcolor="white [3201]" strokeweight=".5pt">
                <v:textbox>
                  <w:txbxContent>
                    <w:p w:rsidR="00BA5970" w:rsidRDefault="00BA5970" w:rsidP="00BA5970">
                      <w:r>
                        <w:t xml:space="preserve"> </w:t>
                      </w:r>
                      <w:r w:rsidR="00515E0E" w:rsidRPr="00515E0E">
                        <w:rPr>
                          <w:noProof/>
                        </w:rPr>
                        <w:drawing>
                          <wp:inline distT="0" distB="0" distL="0" distR="0" wp14:anchorId="067F608B" wp14:editId="27471A84">
                            <wp:extent cx="2914650" cy="2702560"/>
                            <wp:effectExtent l="0" t="0" r="0" b="254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FE15B1">
                        <w:t xml:space="preserve"> </w:t>
                      </w:r>
                      <w:r w:rsidR="001A5287" w:rsidRPr="001A5287">
                        <w:rPr>
                          <w:noProof/>
                        </w:rPr>
                        <w:drawing>
                          <wp:inline distT="0" distB="0" distL="0" distR="0" wp14:anchorId="54A0947B" wp14:editId="78572870">
                            <wp:extent cx="2731770" cy="2693035"/>
                            <wp:effectExtent l="0" t="0" r="11430" b="1206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xbxContent>
                </v:textbox>
                <w10:wrap anchorx="margin"/>
              </v:shape>
            </w:pict>
          </mc:Fallback>
        </mc:AlternateContent>
      </w:r>
      <w:r w:rsidR="00A27F01">
        <w:rPr>
          <w:rFonts w:ascii="BentonSans Book" w:hAnsi="BentonSans Book"/>
          <w:b/>
          <w:sz w:val="22"/>
          <w:szCs w:val="22"/>
        </w:rPr>
        <w:t>Figure 2</w:t>
      </w:r>
      <w:r w:rsidRPr="009D1113">
        <w:rPr>
          <w:rFonts w:ascii="BentonSans Book" w:hAnsi="BentonSans Book"/>
          <w:b/>
          <w:sz w:val="22"/>
          <w:szCs w:val="22"/>
        </w:rPr>
        <w:t>: Rejection Rate by Economic Activity Sector</w:t>
      </w:r>
    </w:p>
    <w:p w14:paraId="42B0D9F2" w14:textId="77777777" w:rsidR="00BA5970" w:rsidRPr="002A006E" w:rsidRDefault="00BA5970" w:rsidP="00BA5970">
      <w:pPr>
        <w:pStyle w:val="NormalWeb"/>
        <w:spacing w:before="120" w:after="120" w:line="360" w:lineRule="auto"/>
        <w:jc w:val="center"/>
        <w:rPr>
          <w:rFonts w:ascii="BentonSans Book" w:hAnsi="BentonSans Book"/>
          <w:b/>
          <w:color w:val="0070C0"/>
          <w:sz w:val="32"/>
          <w:szCs w:val="22"/>
        </w:rPr>
      </w:pPr>
    </w:p>
    <w:p w14:paraId="15A5FD52" w14:textId="77777777" w:rsidR="00BA5970" w:rsidRPr="002A006E" w:rsidRDefault="00BA5970" w:rsidP="00BA5970">
      <w:pPr>
        <w:pStyle w:val="NormalWeb"/>
        <w:spacing w:before="120" w:after="120" w:line="360" w:lineRule="auto"/>
        <w:jc w:val="center"/>
        <w:rPr>
          <w:rFonts w:ascii="BentonSans Book" w:hAnsi="BentonSans Book"/>
          <w:b/>
          <w:color w:val="0070C0"/>
          <w:sz w:val="32"/>
          <w:szCs w:val="22"/>
        </w:rPr>
      </w:pPr>
    </w:p>
    <w:p w14:paraId="1BF3F58D" w14:textId="77777777" w:rsidR="00BA5970" w:rsidRPr="002A006E" w:rsidRDefault="00BA5970" w:rsidP="00BA5970">
      <w:pPr>
        <w:pStyle w:val="NormalWeb"/>
        <w:spacing w:before="120" w:after="120" w:line="360" w:lineRule="auto"/>
        <w:jc w:val="center"/>
        <w:rPr>
          <w:rFonts w:ascii="BentonSans Book" w:hAnsi="BentonSans Book"/>
          <w:b/>
          <w:color w:val="0070C0"/>
          <w:sz w:val="32"/>
          <w:szCs w:val="22"/>
        </w:rPr>
      </w:pPr>
    </w:p>
    <w:p w14:paraId="791FF5FD" w14:textId="77777777" w:rsidR="00BA5970" w:rsidRPr="002A006E" w:rsidRDefault="00BA5970" w:rsidP="00BA5970">
      <w:pPr>
        <w:pStyle w:val="NormalWeb"/>
        <w:spacing w:before="120" w:after="120" w:line="360" w:lineRule="auto"/>
        <w:jc w:val="center"/>
        <w:rPr>
          <w:rFonts w:ascii="BentonSans Book" w:hAnsi="BentonSans Book"/>
          <w:b/>
          <w:color w:val="0070C0"/>
          <w:sz w:val="32"/>
          <w:szCs w:val="22"/>
        </w:rPr>
      </w:pPr>
    </w:p>
    <w:p w14:paraId="5A2CEDF5" w14:textId="77777777" w:rsidR="00BA5970" w:rsidRPr="002A006E" w:rsidRDefault="00BA5970" w:rsidP="00BA5970">
      <w:pPr>
        <w:pStyle w:val="NormalWeb"/>
        <w:spacing w:before="120" w:after="120" w:line="360" w:lineRule="auto"/>
        <w:jc w:val="center"/>
        <w:rPr>
          <w:rFonts w:ascii="BentonSans Book" w:hAnsi="BentonSans Book"/>
          <w:b/>
          <w:color w:val="0070C0"/>
          <w:sz w:val="32"/>
          <w:szCs w:val="22"/>
        </w:rPr>
      </w:pPr>
    </w:p>
    <w:p w14:paraId="08B1C45F" w14:textId="77777777" w:rsidR="00BA5970" w:rsidRPr="009D1113" w:rsidRDefault="00BA5970" w:rsidP="00BA5970">
      <w:pPr>
        <w:pStyle w:val="NormalWeb"/>
        <w:spacing w:before="120" w:after="120" w:line="360" w:lineRule="auto"/>
        <w:rPr>
          <w:rFonts w:ascii="BentonSans Book" w:hAnsi="BentonSans Book"/>
          <w:sz w:val="22"/>
          <w:szCs w:val="22"/>
        </w:rPr>
      </w:pPr>
    </w:p>
    <w:p w14:paraId="26C7275C" w14:textId="77777777" w:rsidR="00515E0E" w:rsidRDefault="00515E0E" w:rsidP="009D1113">
      <w:pPr>
        <w:pStyle w:val="NormalWeb"/>
        <w:spacing w:before="120" w:after="120" w:line="360" w:lineRule="auto"/>
        <w:rPr>
          <w:rFonts w:ascii="BentonSans Book" w:hAnsi="BentonSans Book"/>
          <w:b/>
          <w:sz w:val="22"/>
          <w:szCs w:val="22"/>
        </w:rPr>
      </w:pPr>
    </w:p>
    <w:p w14:paraId="413DCCC3" w14:textId="77777777" w:rsidR="006A004A" w:rsidRPr="00BA5970" w:rsidRDefault="00BA5970" w:rsidP="009D1113">
      <w:pPr>
        <w:pStyle w:val="NormalWeb"/>
        <w:spacing w:before="120" w:after="120" w:line="360" w:lineRule="auto"/>
        <w:rPr>
          <w:rFonts w:ascii="BentonSans Book" w:hAnsi="BentonSans Book"/>
          <w:sz w:val="22"/>
          <w:szCs w:val="22"/>
        </w:rPr>
      </w:pPr>
      <w:r w:rsidRPr="009D1113">
        <w:rPr>
          <w:rFonts w:ascii="BentonSans Book" w:hAnsi="BentonSans Book"/>
          <w:b/>
          <w:sz w:val="22"/>
          <w:szCs w:val="22"/>
        </w:rPr>
        <w:t>Source:</w:t>
      </w:r>
      <w:r w:rsidRPr="009D1113">
        <w:rPr>
          <w:rFonts w:ascii="BentonSans Book" w:hAnsi="BentonSans Book"/>
          <w:sz w:val="22"/>
          <w:szCs w:val="22"/>
        </w:rPr>
        <w:t xml:space="preserve"> Credit Survey Findings</w:t>
      </w:r>
    </w:p>
    <w:p w14:paraId="7AE53498" w14:textId="77777777" w:rsidR="00E75BAA" w:rsidRPr="00024076" w:rsidRDefault="009205CC" w:rsidP="009D1113">
      <w:pPr>
        <w:pStyle w:val="NormalWeb"/>
        <w:spacing w:before="120" w:after="120" w:line="360" w:lineRule="auto"/>
        <w:rPr>
          <w:rFonts w:ascii="BentonSans Book" w:hAnsi="BentonSans Book"/>
          <w:b/>
          <w:szCs w:val="22"/>
        </w:rPr>
      </w:pPr>
      <w:r w:rsidRPr="00024076">
        <w:rPr>
          <w:rFonts w:ascii="BentonSans Book" w:hAnsi="BentonSans Book"/>
          <w:b/>
          <w:szCs w:val="22"/>
        </w:rPr>
        <w:t>Credit Terms</w:t>
      </w:r>
      <w:r w:rsidR="00E75BAA" w:rsidRPr="00024076">
        <w:rPr>
          <w:rFonts w:ascii="BentonSans Book" w:hAnsi="BentonSans Book"/>
          <w:b/>
          <w:szCs w:val="22"/>
        </w:rPr>
        <w:t xml:space="preserve"> and Conditions</w:t>
      </w:r>
    </w:p>
    <w:p w14:paraId="461FB0AA" w14:textId="6C6FD1A4" w:rsidR="00E75BAA" w:rsidRPr="00760BDE" w:rsidRDefault="00024076" w:rsidP="00760BDE">
      <w:pPr>
        <w:spacing w:line="360" w:lineRule="auto"/>
        <w:jc w:val="both"/>
        <w:rPr>
          <w:rFonts w:ascii="BentonSans Book" w:hAnsi="BentonSans Book"/>
        </w:rPr>
      </w:pPr>
      <w:r w:rsidRPr="00024076">
        <w:rPr>
          <w:rFonts w:ascii="BentonSans Book" w:hAnsi="BentonSans Book"/>
        </w:rPr>
        <w:t>Credit terms and conditions</w:t>
      </w:r>
      <w:r w:rsidR="00377A94">
        <w:rPr>
          <w:rFonts w:ascii="BentonSans Book" w:hAnsi="BentonSans Book"/>
        </w:rPr>
        <w:t xml:space="preserve"> are</w:t>
      </w:r>
      <w:r w:rsidRPr="00024076">
        <w:rPr>
          <w:rFonts w:ascii="BentonSans Book" w:hAnsi="BentonSans Book"/>
        </w:rPr>
        <w:t xml:space="preserve"> terms</w:t>
      </w:r>
      <w:r w:rsidR="006059A4">
        <w:rPr>
          <w:rFonts w:ascii="BentonSans Book" w:hAnsi="BentonSans Book"/>
        </w:rPr>
        <w:t xml:space="preserve"> and conditions</w:t>
      </w:r>
      <w:r w:rsidRPr="00024076">
        <w:rPr>
          <w:rFonts w:ascii="BentonSans Book" w:hAnsi="BentonSans Book"/>
        </w:rPr>
        <w:t xml:space="preserve"> on which a bank provides credit to a customer after it has been approved. They mainly include the interest rate, maturity</w:t>
      </w:r>
      <w:r w:rsidR="006059A4">
        <w:rPr>
          <w:rFonts w:ascii="BentonSans Book" w:hAnsi="BentonSans Book"/>
        </w:rPr>
        <w:t xml:space="preserve">, types of </w:t>
      </w:r>
      <w:r w:rsidR="00156F88">
        <w:rPr>
          <w:rFonts w:ascii="BentonSans Book" w:hAnsi="BentonSans Book"/>
        </w:rPr>
        <w:t>collaterals and</w:t>
      </w:r>
      <w:r w:rsidRPr="00024076">
        <w:rPr>
          <w:rFonts w:ascii="BentonSans Book" w:hAnsi="BentonSans Book"/>
        </w:rPr>
        <w:t xml:space="preserve"> frequency of payment. </w:t>
      </w:r>
      <w:r w:rsidR="00B56A72">
        <w:rPr>
          <w:rFonts w:ascii="BentonSans Book" w:hAnsi="BentonSans Book"/>
        </w:rPr>
        <w:t xml:space="preserve">Out of 16 banks operating on Rwandan credit market, </w:t>
      </w:r>
      <w:r w:rsidR="00760BDE">
        <w:rPr>
          <w:rFonts w:ascii="BentonSans Book" w:hAnsi="BentonSans Book"/>
        </w:rPr>
        <w:t>9</w:t>
      </w:r>
      <w:r w:rsidR="00E75BAA" w:rsidRPr="009D1113">
        <w:rPr>
          <w:rFonts w:ascii="BentonSans Book" w:hAnsi="BentonSans Book"/>
        </w:rPr>
        <w:t xml:space="preserve"> banks indicated that </w:t>
      </w:r>
      <w:r w:rsidR="00D50153">
        <w:rPr>
          <w:rFonts w:ascii="BentonSans Book" w:hAnsi="BentonSans Book"/>
        </w:rPr>
        <w:t xml:space="preserve">their overall </w:t>
      </w:r>
      <w:r w:rsidR="00E75BAA" w:rsidRPr="009D1113">
        <w:rPr>
          <w:rFonts w:ascii="BentonSans Book" w:hAnsi="BentonSans Book"/>
        </w:rPr>
        <w:t>terms and conditions remain</w:t>
      </w:r>
      <w:r w:rsidR="00FC6C6C">
        <w:rPr>
          <w:rFonts w:ascii="BentonSans Book" w:hAnsi="BentonSans Book"/>
        </w:rPr>
        <w:t>ed unchanged, while 3</w:t>
      </w:r>
      <w:r w:rsidR="00B56A72">
        <w:rPr>
          <w:rFonts w:ascii="BentonSans Book" w:hAnsi="BentonSans Book"/>
        </w:rPr>
        <w:t xml:space="preserve"> banks </w:t>
      </w:r>
      <w:r w:rsidR="00B56A72" w:rsidRPr="009D1113">
        <w:rPr>
          <w:rFonts w:ascii="BentonSans Book" w:hAnsi="BentonSans Book"/>
        </w:rPr>
        <w:t>indicated</w:t>
      </w:r>
      <w:r w:rsidR="00E75BAA" w:rsidRPr="009D1113">
        <w:rPr>
          <w:rFonts w:ascii="BentonSans Book" w:hAnsi="BentonSans Book"/>
        </w:rPr>
        <w:t xml:space="preserve"> that credit terms a</w:t>
      </w:r>
      <w:r w:rsidR="00FC6C6C">
        <w:rPr>
          <w:rFonts w:ascii="BentonSans Book" w:hAnsi="BentonSans Book"/>
        </w:rPr>
        <w:t>nd conditions tightened and 4</w:t>
      </w:r>
      <w:r w:rsidR="00B56A72">
        <w:rPr>
          <w:rFonts w:ascii="BentonSans Book" w:hAnsi="BentonSans Book"/>
        </w:rPr>
        <w:t xml:space="preserve"> banks </w:t>
      </w:r>
      <w:r w:rsidR="00E75BAA" w:rsidRPr="009D1113">
        <w:rPr>
          <w:rFonts w:ascii="BentonSans Book" w:hAnsi="BentonSans Book"/>
        </w:rPr>
        <w:t>indicat</w:t>
      </w:r>
      <w:r w:rsidR="00156F88">
        <w:rPr>
          <w:rFonts w:ascii="BentonSans Book" w:hAnsi="BentonSans Book"/>
        </w:rPr>
        <w:t>ed</w:t>
      </w:r>
      <w:r w:rsidR="00E75BAA" w:rsidRPr="009D1113">
        <w:rPr>
          <w:rFonts w:ascii="BentonSans Book" w:hAnsi="BentonSans Book"/>
        </w:rPr>
        <w:t xml:space="preserve"> that the credit terms and conditions eased. </w:t>
      </w:r>
      <w:r w:rsidR="00760BDE">
        <w:rPr>
          <w:rFonts w:ascii="BentonSans Book" w:hAnsi="BentonSans Book"/>
        </w:rPr>
        <w:t xml:space="preserve"> </w:t>
      </w:r>
      <w:r w:rsidR="002D1E10">
        <w:rPr>
          <w:rFonts w:ascii="BentonSans Book" w:hAnsi="BentonSans Book"/>
        </w:rPr>
        <w:t xml:space="preserve">From banks’ perspectives, the </w:t>
      </w:r>
      <w:r w:rsidR="003A71D2" w:rsidRPr="00395CA7">
        <w:rPr>
          <w:rFonts w:ascii="BentonSans Book" w:hAnsi="BentonSans Book"/>
        </w:rPr>
        <w:t>competition</w:t>
      </w:r>
      <w:r w:rsidR="00760BDE" w:rsidRPr="00395CA7">
        <w:rPr>
          <w:rFonts w:ascii="BentonSans Book" w:hAnsi="BentonSans Book"/>
        </w:rPr>
        <w:t xml:space="preserve">, cost of funds, capital and liquidity position  were </w:t>
      </w:r>
      <w:r w:rsidR="003A71D2" w:rsidRPr="00395CA7">
        <w:rPr>
          <w:rFonts w:ascii="BentonSans Book" w:hAnsi="BentonSans Book"/>
        </w:rPr>
        <w:t>the</w:t>
      </w:r>
      <w:r w:rsidR="00E75BAA" w:rsidRPr="00395CA7">
        <w:rPr>
          <w:rFonts w:ascii="BentonSans Book" w:hAnsi="BentonSans Book"/>
        </w:rPr>
        <w:t xml:space="preserve"> main factors that contributed to easing of credit terms and conditions, while operating costs</w:t>
      </w:r>
      <w:r w:rsidR="002D1E10">
        <w:rPr>
          <w:rFonts w:ascii="BentonSans Book" w:hAnsi="BentonSans Book"/>
        </w:rPr>
        <w:t xml:space="preserve"> and the perception of risk </w:t>
      </w:r>
      <w:r w:rsidR="003A71D2" w:rsidRPr="00395CA7">
        <w:rPr>
          <w:rFonts w:ascii="BentonSans Book" w:hAnsi="BentonSans Book"/>
        </w:rPr>
        <w:t xml:space="preserve">were </w:t>
      </w:r>
      <w:r w:rsidR="00E75BAA" w:rsidRPr="00395CA7">
        <w:rPr>
          <w:rFonts w:ascii="BentonSans Book" w:hAnsi="BentonSans Book"/>
        </w:rPr>
        <w:t>the main reasons for tightening credit terms and conditions.</w:t>
      </w:r>
      <w:r w:rsidR="00E75BAA" w:rsidRPr="009D1113">
        <w:rPr>
          <w:rFonts w:ascii="BentonSans Book" w:hAnsi="BentonSans Book"/>
        </w:rPr>
        <w:t xml:space="preserve"> </w:t>
      </w:r>
      <w:r w:rsidR="002D1E10">
        <w:rPr>
          <w:rFonts w:ascii="BentonSans Book" w:hAnsi="BentonSans Book"/>
        </w:rPr>
        <w:t>Tight credit terms and conditions mainly reflected collateral requirements and borrowers’ own contribution</w:t>
      </w:r>
      <w:r w:rsidR="00960D3E">
        <w:rPr>
          <w:rFonts w:ascii="BentonSans Book" w:hAnsi="BentonSans Book"/>
        </w:rPr>
        <w:t xml:space="preserve"> to the project.</w:t>
      </w:r>
    </w:p>
    <w:p w14:paraId="3DA7BD67" w14:textId="20F8025C" w:rsidR="00E75BAA" w:rsidRPr="009D1113" w:rsidRDefault="00C077BF" w:rsidP="009D1113">
      <w:pPr>
        <w:pStyle w:val="NormalWeb"/>
        <w:spacing w:before="120" w:after="120" w:line="360" w:lineRule="auto"/>
        <w:rPr>
          <w:rFonts w:ascii="BentonSans Book" w:hAnsi="BentonSans Book"/>
          <w:b/>
          <w:sz w:val="22"/>
          <w:szCs w:val="22"/>
        </w:rPr>
      </w:pPr>
      <w:r>
        <w:rPr>
          <w:rFonts w:ascii="BentonSans Book" w:hAnsi="BentonSans Book"/>
          <w:b/>
          <w:sz w:val="22"/>
          <w:szCs w:val="22"/>
        </w:rPr>
        <w:t xml:space="preserve">4. </w:t>
      </w:r>
      <w:r w:rsidR="0042243E">
        <w:rPr>
          <w:rFonts w:ascii="BentonSans Book" w:hAnsi="BentonSans Book"/>
          <w:b/>
          <w:sz w:val="22"/>
          <w:szCs w:val="22"/>
        </w:rPr>
        <w:t>Expectations in</w:t>
      </w:r>
      <w:r>
        <w:rPr>
          <w:rFonts w:ascii="BentonSans Book" w:hAnsi="BentonSans Book"/>
          <w:b/>
          <w:sz w:val="22"/>
          <w:szCs w:val="22"/>
        </w:rPr>
        <w:t xml:space="preserve"> 2019</w:t>
      </w:r>
    </w:p>
    <w:p w14:paraId="6719EA3D" w14:textId="77777777" w:rsidR="00BA5970" w:rsidRDefault="005762DF" w:rsidP="009D1113">
      <w:pPr>
        <w:pStyle w:val="NormalWeb"/>
        <w:spacing w:before="120" w:after="120" w:line="360" w:lineRule="auto"/>
        <w:jc w:val="both"/>
        <w:rPr>
          <w:rFonts w:ascii="BentonSans Book" w:hAnsi="BentonSans Book"/>
          <w:sz w:val="22"/>
          <w:szCs w:val="22"/>
        </w:rPr>
      </w:pPr>
      <w:r>
        <w:rPr>
          <w:rFonts w:ascii="BentonSans Book" w:hAnsi="BentonSans Book"/>
          <w:sz w:val="22"/>
          <w:szCs w:val="22"/>
        </w:rPr>
        <w:t xml:space="preserve">Banks expect lending to </w:t>
      </w:r>
      <w:r w:rsidR="00E75BAA" w:rsidRPr="009D1113">
        <w:rPr>
          <w:rFonts w:ascii="BentonSans Book" w:hAnsi="BentonSans Book"/>
          <w:sz w:val="22"/>
          <w:szCs w:val="22"/>
        </w:rPr>
        <w:t xml:space="preserve">continue </w:t>
      </w:r>
      <w:r>
        <w:rPr>
          <w:rFonts w:ascii="BentonSans Book" w:hAnsi="BentonSans Book"/>
          <w:sz w:val="22"/>
          <w:szCs w:val="22"/>
        </w:rPr>
        <w:t>increasing in 2019</w:t>
      </w:r>
      <w:r w:rsidR="002646CF">
        <w:rPr>
          <w:rFonts w:ascii="BentonSans Book" w:hAnsi="BentonSans Book"/>
          <w:sz w:val="22"/>
          <w:szCs w:val="22"/>
        </w:rPr>
        <w:t xml:space="preserve">. During the year </w:t>
      </w:r>
      <w:r w:rsidR="00E75BAA" w:rsidRPr="009D1113">
        <w:rPr>
          <w:rFonts w:ascii="BentonSans Book" w:hAnsi="BentonSans Book"/>
          <w:sz w:val="22"/>
          <w:szCs w:val="22"/>
        </w:rPr>
        <w:t>201</w:t>
      </w:r>
      <w:r>
        <w:rPr>
          <w:rFonts w:ascii="BentonSans Book" w:hAnsi="BentonSans Book"/>
          <w:sz w:val="22"/>
          <w:szCs w:val="22"/>
        </w:rPr>
        <w:t>9</w:t>
      </w:r>
      <w:r w:rsidR="002646CF">
        <w:rPr>
          <w:rFonts w:ascii="BentonSans Book" w:hAnsi="BentonSans Book"/>
          <w:sz w:val="22"/>
          <w:szCs w:val="22"/>
        </w:rPr>
        <w:t xml:space="preserve">, most banks (11 banks) anticipate an </w:t>
      </w:r>
      <w:r w:rsidR="00E75BAA" w:rsidRPr="009D1113">
        <w:rPr>
          <w:rFonts w:ascii="BentonSans Book" w:hAnsi="BentonSans Book"/>
          <w:sz w:val="22"/>
          <w:szCs w:val="22"/>
        </w:rPr>
        <w:t xml:space="preserve">increase </w:t>
      </w:r>
      <w:r w:rsidR="002646CF">
        <w:rPr>
          <w:rFonts w:ascii="BentonSans Book" w:hAnsi="BentonSans Book"/>
          <w:sz w:val="22"/>
          <w:szCs w:val="22"/>
        </w:rPr>
        <w:t xml:space="preserve">of lending on basis of </w:t>
      </w:r>
      <w:r w:rsidR="002646CF" w:rsidRPr="009D1113">
        <w:rPr>
          <w:rFonts w:ascii="BentonSans Book" w:hAnsi="BentonSans Book"/>
          <w:sz w:val="22"/>
          <w:szCs w:val="22"/>
        </w:rPr>
        <w:t>improved</w:t>
      </w:r>
      <w:r w:rsidR="002646CF">
        <w:rPr>
          <w:rFonts w:ascii="BentonSans Book" w:hAnsi="BentonSans Book"/>
          <w:sz w:val="22"/>
          <w:szCs w:val="22"/>
        </w:rPr>
        <w:t xml:space="preserve"> economic performance, increased demand for </w:t>
      </w:r>
      <w:r w:rsidR="00E75BAA" w:rsidRPr="009D1113">
        <w:rPr>
          <w:rFonts w:ascii="BentonSans Book" w:hAnsi="BentonSans Book"/>
          <w:sz w:val="22"/>
          <w:szCs w:val="22"/>
        </w:rPr>
        <w:t>lo</w:t>
      </w:r>
      <w:r w:rsidR="002646CF">
        <w:rPr>
          <w:rFonts w:ascii="BentonSans Book" w:hAnsi="BentonSans Book"/>
          <w:sz w:val="22"/>
          <w:szCs w:val="22"/>
        </w:rPr>
        <w:t>ans increased liquidity</w:t>
      </w:r>
      <w:r w:rsidR="006059A4">
        <w:rPr>
          <w:rFonts w:ascii="BentonSans Book" w:hAnsi="BentonSans Book"/>
          <w:sz w:val="22"/>
          <w:szCs w:val="22"/>
        </w:rPr>
        <w:t xml:space="preserve"> conditions</w:t>
      </w:r>
      <w:r w:rsidR="002646CF">
        <w:rPr>
          <w:rFonts w:ascii="BentonSans Book" w:hAnsi="BentonSans Book"/>
          <w:sz w:val="22"/>
          <w:szCs w:val="22"/>
        </w:rPr>
        <w:t xml:space="preserve"> and </w:t>
      </w:r>
      <w:r w:rsidR="002646CF" w:rsidRPr="009D1113">
        <w:rPr>
          <w:rFonts w:ascii="BentonSans Book" w:hAnsi="BentonSans Book"/>
          <w:sz w:val="22"/>
          <w:szCs w:val="22"/>
        </w:rPr>
        <w:t>stable</w:t>
      </w:r>
      <w:r w:rsidR="00E75BAA" w:rsidRPr="009D1113">
        <w:rPr>
          <w:rFonts w:ascii="BentonSans Book" w:hAnsi="BentonSans Book"/>
          <w:sz w:val="22"/>
          <w:szCs w:val="22"/>
        </w:rPr>
        <w:t xml:space="preserve"> lending interest rate</w:t>
      </w:r>
      <w:r w:rsidR="002646CF">
        <w:rPr>
          <w:rFonts w:ascii="BentonSans Book" w:hAnsi="BentonSans Book"/>
          <w:sz w:val="22"/>
          <w:szCs w:val="22"/>
        </w:rPr>
        <w:t>. Banks that foresee a dip in lending attribute it to tightness of underwriting credit standards mainly in form of collateral requirements.  With regards to lending interest rate, b</w:t>
      </w:r>
      <w:r w:rsidR="005D4E3F">
        <w:rPr>
          <w:rFonts w:ascii="BentonSans Book" w:hAnsi="BentonSans Book"/>
          <w:sz w:val="22"/>
          <w:szCs w:val="22"/>
        </w:rPr>
        <w:t xml:space="preserve">anks expect the lending interest rate to remain broadly unchanged. </w:t>
      </w:r>
      <w:r w:rsidR="00E75BAA" w:rsidRPr="009D1113">
        <w:rPr>
          <w:rFonts w:ascii="BentonSans Book" w:hAnsi="BentonSans Book"/>
          <w:sz w:val="22"/>
          <w:szCs w:val="22"/>
        </w:rPr>
        <w:t xml:space="preserve"> The survey </w:t>
      </w:r>
      <w:r w:rsidR="00E75BAA" w:rsidRPr="009D1113">
        <w:rPr>
          <w:rFonts w:ascii="BentonSans Book" w:hAnsi="BentonSans Book"/>
          <w:sz w:val="22"/>
          <w:szCs w:val="22"/>
        </w:rPr>
        <w:lastRenderedPageBreak/>
        <w:t>results indicate that majority of the</w:t>
      </w:r>
      <w:r w:rsidR="002646CF">
        <w:rPr>
          <w:rFonts w:ascii="BentonSans Book" w:hAnsi="BentonSans Book"/>
          <w:sz w:val="22"/>
          <w:szCs w:val="22"/>
        </w:rPr>
        <w:t xml:space="preserve"> banks (10 banks</w:t>
      </w:r>
      <w:r w:rsidR="00E75BAA" w:rsidRPr="009D1113">
        <w:rPr>
          <w:rFonts w:ascii="BentonSans Book" w:hAnsi="BentonSans Book"/>
          <w:sz w:val="22"/>
          <w:szCs w:val="22"/>
        </w:rPr>
        <w:t>) expect their lending rates</w:t>
      </w:r>
      <w:r w:rsidR="002646CF">
        <w:rPr>
          <w:rFonts w:ascii="BentonSans Book" w:hAnsi="BentonSans Book"/>
          <w:sz w:val="22"/>
          <w:szCs w:val="22"/>
        </w:rPr>
        <w:t xml:space="preserve"> to remain unchanged, while 2 banks</w:t>
      </w:r>
      <w:r w:rsidR="00E75BAA" w:rsidRPr="009D1113">
        <w:rPr>
          <w:rFonts w:ascii="BentonSans Book" w:hAnsi="BentonSans Book"/>
          <w:sz w:val="22"/>
          <w:szCs w:val="22"/>
        </w:rPr>
        <w:t xml:space="preserve"> expect the l</w:t>
      </w:r>
      <w:r w:rsidR="002646CF">
        <w:rPr>
          <w:rFonts w:ascii="BentonSans Book" w:hAnsi="BentonSans Book"/>
          <w:sz w:val="22"/>
          <w:szCs w:val="22"/>
        </w:rPr>
        <w:t xml:space="preserve">ending interest rate </w:t>
      </w:r>
      <w:r w:rsidR="00670DCE">
        <w:rPr>
          <w:rFonts w:ascii="BentonSans Book" w:hAnsi="BentonSans Book"/>
          <w:sz w:val="22"/>
          <w:szCs w:val="22"/>
        </w:rPr>
        <w:t xml:space="preserve">increase and </w:t>
      </w:r>
      <w:r w:rsidR="00220674">
        <w:rPr>
          <w:rFonts w:ascii="BentonSans Book" w:hAnsi="BentonSans Book"/>
          <w:sz w:val="22"/>
          <w:szCs w:val="22"/>
        </w:rPr>
        <w:t>other 4</w:t>
      </w:r>
      <w:r w:rsidR="00670DCE">
        <w:rPr>
          <w:rFonts w:ascii="BentonSans Book" w:hAnsi="BentonSans Book"/>
          <w:sz w:val="22"/>
          <w:szCs w:val="22"/>
        </w:rPr>
        <w:t xml:space="preserve"> banks anticipate the lending interest rate to drop</w:t>
      </w:r>
      <w:r w:rsidR="00E75BAA" w:rsidRPr="009D1113">
        <w:rPr>
          <w:rFonts w:ascii="BentonSans Book" w:hAnsi="BentonSans Book"/>
          <w:sz w:val="22"/>
          <w:szCs w:val="22"/>
        </w:rPr>
        <w:t>. Banks cited the competition in the industry</w:t>
      </w:r>
      <w:r w:rsidR="00670DCE">
        <w:rPr>
          <w:rFonts w:ascii="BentonSans Book" w:hAnsi="BentonSans Book"/>
          <w:sz w:val="22"/>
          <w:szCs w:val="22"/>
        </w:rPr>
        <w:t xml:space="preserve">, risk </w:t>
      </w:r>
      <w:r w:rsidR="00220674">
        <w:rPr>
          <w:rFonts w:ascii="BentonSans Book" w:hAnsi="BentonSans Book"/>
          <w:sz w:val="22"/>
          <w:szCs w:val="22"/>
        </w:rPr>
        <w:t>premium,</w:t>
      </w:r>
      <w:r w:rsidR="00670DCE">
        <w:rPr>
          <w:rFonts w:ascii="BentonSans Book" w:hAnsi="BentonSans Book"/>
          <w:sz w:val="22"/>
          <w:szCs w:val="22"/>
        </w:rPr>
        <w:t xml:space="preserve"> liquidity</w:t>
      </w:r>
      <w:r w:rsidR="00E75BAA" w:rsidRPr="009D1113">
        <w:rPr>
          <w:rFonts w:ascii="BentonSans Book" w:hAnsi="BentonSans Book"/>
          <w:sz w:val="22"/>
          <w:szCs w:val="22"/>
        </w:rPr>
        <w:t xml:space="preserve"> and reduction of cost of funds as the major reasons driving these expectations</w:t>
      </w:r>
      <w:r w:rsidR="00220674">
        <w:rPr>
          <w:rFonts w:ascii="BentonSans Book" w:hAnsi="BentonSans Book"/>
          <w:sz w:val="22"/>
          <w:szCs w:val="22"/>
        </w:rPr>
        <w:t xml:space="preserve"> on interest rate movement.</w:t>
      </w:r>
    </w:p>
    <w:p w14:paraId="683C0D7C" w14:textId="77777777" w:rsidR="00A27F01" w:rsidRPr="009D1113" w:rsidRDefault="00A27F01" w:rsidP="00A27F01">
      <w:pPr>
        <w:pStyle w:val="NormalWeb"/>
        <w:spacing w:before="120" w:after="120" w:line="360" w:lineRule="auto"/>
        <w:rPr>
          <w:rFonts w:ascii="BentonSans Book" w:hAnsi="BentonSans Book"/>
          <w:b/>
          <w:sz w:val="22"/>
          <w:szCs w:val="22"/>
        </w:rPr>
      </w:pPr>
      <w:r w:rsidRPr="009D1113">
        <w:rPr>
          <w:rFonts w:ascii="BentonSans Book" w:hAnsi="BentonSans Book"/>
          <w:b/>
          <w:noProof/>
          <w:sz w:val="22"/>
          <w:szCs w:val="22"/>
        </w:rPr>
        <mc:AlternateContent>
          <mc:Choice Requires="wps">
            <w:drawing>
              <wp:anchor distT="0" distB="0" distL="114300" distR="114300" simplePos="0" relativeHeight="251700224" behindDoc="0" locked="0" layoutInCell="1" allowOverlap="1" wp14:anchorId="365237CB" wp14:editId="0B333E31">
                <wp:simplePos x="0" y="0"/>
                <wp:positionH relativeFrom="margin">
                  <wp:align>right</wp:align>
                </wp:positionH>
                <wp:positionV relativeFrom="paragraph">
                  <wp:posOffset>220980</wp:posOffset>
                </wp:positionV>
                <wp:extent cx="5934075" cy="2762250"/>
                <wp:effectExtent l="0" t="0" r="28575" b="19050"/>
                <wp:wrapNone/>
                <wp:docPr id="18" name="Text Box 18"/>
                <wp:cNvGraphicFramePr/>
                <a:graphic xmlns:a="http://schemas.openxmlformats.org/drawingml/2006/main">
                  <a:graphicData uri="http://schemas.microsoft.com/office/word/2010/wordprocessingShape">
                    <wps:wsp>
                      <wps:cNvSpPr txBox="1"/>
                      <wps:spPr>
                        <a:xfrm>
                          <a:off x="0" y="0"/>
                          <a:ext cx="5934075" cy="2762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296FE1" w14:textId="77777777" w:rsidR="00A27F01" w:rsidRDefault="00A27F01" w:rsidP="00A27F01">
                            <w:r>
                              <w:t xml:space="preserve"> </w:t>
                            </w:r>
                            <w:r w:rsidR="00F96C8C" w:rsidRPr="00F96C8C">
                              <w:rPr>
                                <w:noProof/>
                              </w:rPr>
                              <w:drawing>
                                <wp:inline distT="0" distB="0" distL="0" distR="0" wp14:anchorId="2A081E9C" wp14:editId="148B0072">
                                  <wp:extent cx="2828925" cy="2590800"/>
                                  <wp:effectExtent l="0" t="0" r="9525"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F96C8C">
                              <w:t xml:space="preserve"> </w:t>
                            </w:r>
                            <w:r w:rsidR="00AE181D" w:rsidRPr="00AE181D">
                              <w:rPr>
                                <w:noProof/>
                              </w:rPr>
                              <w:drawing>
                                <wp:inline distT="0" distB="0" distL="0" distR="0" wp14:anchorId="339CCA9D" wp14:editId="2115C187">
                                  <wp:extent cx="2819400" cy="2600325"/>
                                  <wp:effectExtent l="0" t="0" r="0" b="952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08EF6" id="Text Box 18" o:spid="_x0000_s1030" type="#_x0000_t202" style="position:absolute;margin-left:416.05pt;margin-top:17.4pt;width:467.25pt;height:217.5pt;z-index:251700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" fillcolor="white [3201]" strokeweight=".5pt">
                <v:textbox>
                  <w:txbxContent>
                    <w:p w:rsidR="00A27F01" w:rsidRDefault="00A27F01" w:rsidP="00A27F01">
                      <w:r>
                        <w:t xml:space="preserve"> </w:t>
                      </w:r>
                      <w:r w:rsidR="00F96C8C" w:rsidRPr="00F96C8C">
                        <w:rPr>
                          <w:noProof/>
                        </w:rPr>
                        <w:drawing>
                          <wp:inline distT="0" distB="0" distL="0" distR="0" wp14:anchorId="45F6CA94" wp14:editId="48D1A571">
                            <wp:extent cx="2828925" cy="2590800"/>
                            <wp:effectExtent l="0" t="0" r="9525"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F96C8C">
                        <w:t xml:space="preserve"> </w:t>
                      </w:r>
                      <w:r w:rsidR="00AE181D" w:rsidRPr="00AE181D">
                        <w:rPr>
                          <w:noProof/>
                        </w:rPr>
                        <w:drawing>
                          <wp:inline distT="0" distB="0" distL="0" distR="0" wp14:anchorId="1F29B9D2" wp14:editId="1B129EC0">
                            <wp:extent cx="2819400" cy="2600325"/>
                            <wp:effectExtent l="0" t="0" r="0" b="952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xbxContent>
                </v:textbox>
                <w10:wrap anchorx="margin"/>
              </v:shape>
            </w:pict>
          </mc:Fallback>
        </mc:AlternateContent>
      </w:r>
      <w:r>
        <w:rPr>
          <w:rFonts w:ascii="BentonSans Book" w:hAnsi="BentonSans Book"/>
          <w:b/>
          <w:sz w:val="22"/>
          <w:szCs w:val="22"/>
        </w:rPr>
        <w:t>Figure 3: Expectations on Lending</w:t>
      </w:r>
    </w:p>
    <w:p w14:paraId="62DE3A64" w14:textId="77777777" w:rsidR="00A27F01" w:rsidRPr="002A006E" w:rsidRDefault="00A27F01" w:rsidP="00A27F01">
      <w:pPr>
        <w:pStyle w:val="NormalWeb"/>
        <w:spacing w:before="120" w:after="120" w:line="360" w:lineRule="auto"/>
        <w:jc w:val="center"/>
        <w:rPr>
          <w:rFonts w:ascii="BentonSans Book" w:hAnsi="BentonSans Book"/>
          <w:b/>
          <w:color w:val="0070C0"/>
          <w:sz w:val="32"/>
          <w:szCs w:val="22"/>
        </w:rPr>
      </w:pPr>
    </w:p>
    <w:p w14:paraId="02730133" w14:textId="77777777" w:rsidR="00A27F01" w:rsidRPr="002A006E" w:rsidRDefault="00A27F01" w:rsidP="00A27F01">
      <w:pPr>
        <w:pStyle w:val="NormalWeb"/>
        <w:spacing w:before="120" w:after="120" w:line="360" w:lineRule="auto"/>
        <w:jc w:val="center"/>
        <w:rPr>
          <w:rFonts w:ascii="BentonSans Book" w:hAnsi="BentonSans Book"/>
          <w:b/>
          <w:color w:val="0070C0"/>
          <w:sz w:val="32"/>
          <w:szCs w:val="22"/>
        </w:rPr>
      </w:pPr>
    </w:p>
    <w:p w14:paraId="1101A01A" w14:textId="77777777" w:rsidR="00A27F01" w:rsidRPr="002A006E" w:rsidRDefault="00A27F01" w:rsidP="00A27F01">
      <w:pPr>
        <w:pStyle w:val="NormalWeb"/>
        <w:spacing w:before="120" w:after="120" w:line="360" w:lineRule="auto"/>
        <w:jc w:val="center"/>
        <w:rPr>
          <w:rFonts w:ascii="BentonSans Book" w:hAnsi="BentonSans Book"/>
          <w:b/>
          <w:color w:val="0070C0"/>
          <w:sz w:val="32"/>
          <w:szCs w:val="22"/>
        </w:rPr>
      </w:pPr>
    </w:p>
    <w:p w14:paraId="0667BD20" w14:textId="77777777" w:rsidR="00A27F01" w:rsidRPr="002A006E" w:rsidRDefault="00A27F01" w:rsidP="00A27F01">
      <w:pPr>
        <w:pStyle w:val="NormalWeb"/>
        <w:spacing w:before="120" w:after="120" w:line="360" w:lineRule="auto"/>
        <w:jc w:val="center"/>
        <w:rPr>
          <w:rFonts w:ascii="BentonSans Book" w:hAnsi="BentonSans Book"/>
          <w:b/>
          <w:color w:val="0070C0"/>
          <w:sz w:val="32"/>
          <w:szCs w:val="22"/>
        </w:rPr>
      </w:pPr>
    </w:p>
    <w:p w14:paraId="54CF172A" w14:textId="77777777" w:rsidR="00A27F01" w:rsidRPr="002A006E" w:rsidRDefault="00A27F01" w:rsidP="00A27F01">
      <w:pPr>
        <w:pStyle w:val="NormalWeb"/>
        <w:spacing w:before="120" w:after="120" w:line="360" w:lineRule="auto"/>
        <w:jc w:val="center"/>
        <w:rPr>
          <w:rFonts w:ascii="BentonSans Book" w:hAnsi="BentonSans Book"/>
          <w:b/>
          <w:color w:val="0070C0"/>
          <w:sz w:val="32"/>
          <w:szCs w:val="22"/>
        </w:rPr>
      </w:pPr>
    </w:p>
    <w:p w14:paraId="27B89C59" w14:textId="77777777" w:rsidR="00A27F01" w:rsidRPr="002A006E" w:rsidRDefault="00A27F01" w:rsidP="00A27F01">
      <w:pPr>
        <w:pStyle w:val="NormalWeb"/>
        <w:spacing w:before="120" w:after="120" w:line="360" w:lineRule="auto"/>
        <w:jc w:val="center"/>
        <w:rPr>
          <w:rFonts w:ascii="BentonSans Book" w:hAnsi="BentonSans Book"/>
          <w:b/>
          <w:color w:val="0070C0"/>
          <w:sz w:val="32"/>
          <w:szCs w:val="22"/>
        </w:rPr>
      </w:pPr>
    </w:p>
    <w:p w14:paraId="7052BFFF" w14:textId="77777777" w:rsidR="00A27F01" w:rsidRPr="00BA5970" w:rsidRDefault="00A27F01" w:rsidP="00A27F01">
      <w:pPr>
        <w:pStyle w:val="NormalWeb"/>
        <w:spacing w:before="120" w:after="120" w:line="360" w:lineRule="auto"/>
        <w:rPr>
          <w:rFonts w:ascii="BentonSans Book" w:hAnsi="BentonSans Book"/>
          <w:sz w:val="22"/>
          <w:szCs w:val="22"/>
        </w:rPr>
      </w:pPr>
      <w:r w:rsidRPr="009D1113">
        <w:rPr>
          <w:rFonts w:ascii="BentonSans Book" w:hAnsi="BentonSans Book"/>
          <w:b/>
          <w:sz w:val="22"/>
          <w:szCs w:val="22"/>
        </w:rPr>
        <w:t>Source:</w:t>
      </w:r>
      <w:r w:rsidRPr="009D1113">
        <w:rPr>
          <w:rFonts w:ascii="BentonSans Book" w:hAnsi="BentonSans Book"/>
          <w:sz w:val="22"/>
          <w:szCs w:val="22"/>
        </w:rPr>
        <w:t xml:space="preserve"> Credit Survey Findings</w:t>
      </w:r>
    </w:p>
    <w:p w14:paraId="319C8649" w14:textId="77777777" w:rsidR="00BA5970" w:rsidRDefault="00BA5970" w:rsidP="009D1113">
      <w:pPr>
        <w:pStyle w:val="NormalWeb"/>
        <w:spacing w:before="120" w:after="120" w:line="360" w:lineRule="auto"/>
        <w:jc w:val="both"/>
        <w:rPr>
          <w:rFonts w:ascii="BentonSans Book" w:hAnsi="BentonSans Book"/>
          <w:sz w:val="22"/>
          <w:szCs w:val="22"/>
        </w:rPr>
      </w:pPr>
    </w:p>
    <w:p w14:paraId="5CD860AE" w14:textId="3DC57E3B" w:rsidR="00670DCE" w:rsidRDefault="00670DCE" w:rsidP="009D1113">
      <w:pPr>
        <w:pStyle w:val="NormalWeb"/>
        <w:spacing w:before="120" w:after="120" w:line="360" w:lineRule="auto"/>
        <w:jc w:val="both"/>
        <w:rPr>
          <w:rFonts w:ascii="BentonSans Book" w:hAnsi="BentonSans Book"/>
          <w:sz w:val="22"/>
          <w:szCs w:val="22"/>
        </w:rPr>
      </w:pPr>
    </w:p>
    <w:p w14:paraId="5C8867D6" w14:textId="62BC60D4" w:rsidR="00DB39ED" w:rsidRDefault="00DB39ED" w:rsidP="009D1113">
      <w:pPr>
        <w:pStyle w:val="NormalWeb"/>
        <w:spacing w:before="120" w:after="120" w:line="360" w:lineRule="auto"/>
        <w:jc w:val="both"/>
        <w:rPr>
          <w:rFonts w:ascii="BentonSans Book" w:hAnsi="BentonSans Book"/>
          <w:sz w:val="22"/>
          <w:szCs w:val="22"/>
        </w:rPr>
      </w:pPr>
    </w:p>
    <w:p w14:paraId="6FDB884B" w14:textId="36D5B78A" w:rsidR="00DB39ED" w:rsidRDefault="00DB39ED" w:rsidP="009D1113">
      <w:pPr>
        <w:pStyle w:val="NormalWeb"/>
        <w:spacing w:before="120" w:after="120" w:line="360" w:lineRule="auto"/>
        <w:jc w:val="both"/>
        <w:rPr>
          <w:rFonts w:ascii="BentonSans Book" w:hAnsi="BentonSans Book"/>
          <w:sz w:val="22"/>
          <w:szCs w:val="22"/>
        </w:rPr>
      </w:pPr>
    </w:p>
    <w:p w14:paraId="3FEEE78C" w14:textId="0A90A240" w:rsidR="00DB39ED" w:rsidRDefault="00DB39ED" w:rsidP="009D1113">
      <w:pPr>
        <w:pStyle w:val="NormalWeb"/>
        <w:spacing w:before="120" w:after="120" w:line="360" w:lineRule="auto"/>
        <w:jc w:val="both"/>
        <w:rPr>
          <w:rFonts w:ascii="BentonSans Book" w:hAnsi="BentonSans Book"/>
          <w:sz w:val="22"/>
          <w:szCs w:val="22"/>
        </w:rPr>
      </w:pPr>
    </w:p>
    <w:p w14:paraId="69AD2360" w14:textId="48544D8A" w:rsidR="00DB39ED" w:rsidRDefault="00DB39ED" w:rsidP="009D1113">
      <w:pPr>
        <w:pStyle w:val="NormalWeb"/>
        <w:spacing w:before="120" w:after="120" w:line="360" w:lineRule="auto"/>
        <w:jc w:val="both"/>
        <w:rPr>
          <w:rFonts w:ascii="BentonSans Book" w:hAnsi="BentonSans Book"/>
          <w:sz w:val="22"/>
          <w:szCs w:val="22"/>
        </w:rPr>
      </w:pPr>
    </w:p>
    <w:p w14:paraId="652F8E02" w14:textId="6F12C43A" w:rsidR="00DB39ED" w:rsidRDefault="00DB39ED" w:rsidP="009D1113">
      <w:pPr>
        <w:pStyle w:val="NormalWeb"/>
        <w:spacing w:before="120" w:after="120" w:line="360" w:lineRule="auto"/>
        <w:jc w:val="both"/>
        <w:rPr>
          <w:rFonts w:ascii="BentonSans Book" w:hAnsi="BentonSans Book"/>
          <w:sz w:val="22"/>
          <w:szCs w:val="22"/>
        </w:rPr>
      </w:pPr>
    </w:p>
    <w:p w14:paraId="3DFEC91A" w14:textId="30DDC246" w:rsidR="00DB39ED" w:rsidRDefault="00DB39ED" w:rsidP="009D1113">
      <w:pPr>
        <w:pStyle w:val="NormalWeb"/>
        <w:spacing w:before="120" w:after="120" w:line="360" w:lineRule="auto"/>
        <w:jc w:val="both"/>
        <w:rPr>
          <w:rFonts w:ascii="BentonSans Book" w:hAnsi="BentonSans Book"/>
          <w:sz w:val="22"/>
          <w:szCs w:val="22"/>
        </w:rPr>
      </w:pPr>
    </w:p>
    <w:p w14:paraId="4672D743" w14:textId="77777777" w:rsidR="00BA7212" w:rsidRDefault="00BA7212" w:rsidP="009D1113">
      <w:pPr>
        <w:pStyle w:val="NormalWeb"/>
        <w:spacing w:before="120" w:after="120" w:line="360" w:lineRule="auto"/>
        <w:jc w:val="both"/>
        <w:rPr>
          <w:rFonts w:ascii="BentonSans Book" w:hAnsi="BentonSans Book"/>
          <w:sz w:val="22"/>
          <w:szCs w:val="22"/>
        </w:rPr>
      </w:pPr>
    </w:p>
    <w:p w14:paraId="3A17E202" w14:textId="6F772B26" w:rsidR="00DB39ED" w:rsidRDefault="00DB39ED" w:rsidP="009D1113">
      <w:pPr>
        <w:pStyle w:val="NormalWeb"/>
        <w:spacing w:before="120" w:after="120" w:line="360" w:lineRule="auto"/>
        <w:jc w:val="both"/>
        <w:rPr>
          <w:rFonts w:ascii="BentonSans Book" w:hAnsi="BentonSans Book"/>
          <w:sz w:val="22"/>
          <w:szCs w:val="22"/>
        </w:rPr>
      </w:pPr>
    </w:p>
    <w:p w14:paraId="49BF3C07" w14:textId="77777777" w:rsidR="00DB39ED" w:rsidRDefault="00DB39ED" w:rsidP="009D1113">
      <w:pPr>
        <w:pStyle w:val="NormalWeb"/>
        <w:spacing w:before="120" w:after="120" w:line="360" w:lineRule="auto"/>
        <w:jc w:val="both"/>
        <w:rPr>
          <w:rFonts w:ascii="BentonSans Book" w:hAnsi="BentonSans Book"/>
          <w:sz w:val="22"/>
          <w:szCs w:val="22"/>
        </w:rPr>
      </w:pPr>
    </w:p>
    <w:p w14:paraId="30749D14" w14:textId="77777777" w:rsidR="00BA5970" w:rsidRPr="009D1113" w:rsidRDefault="00BA5970" w:rsidP="009D1113">
      <w:pPr>
        <w:pStyle w:val="NormalWeb"/>
        <w:spacing w:before="120" w:after="120" w:line="360" w:lineRule="auto"/>
        <w:jc w:val="both"/>
        <w:rPr>
          <w:rFonts w:ascii="BentonSans Book" w:hAnsi="BentonSans Book"/>
          <w:sz w:val="22"/>
          <w:szCs w:val="22"/>
        </w:rPr>
      </w:pPr>
    </w:p>
    <w:p w14:paraId="04BAC5A3" w14:textId="77777777" w:rsidR="008713BC" w:rsidRPr="008713BC" w:rsidRDefault="00E75BAA" w:rsidP="008713BC">
      <w:pPr>
        <w:pStyle w:val="NormalWeb"/>
        <w:spacing w:before="120" w:after="120" w:line="360" w:lineRule="auto"/>
        <w:rPr>
          <w:rFonts w:ascii="BentonSans Book" w:hAnsi="BentonSans Book"/>
          <w:b/>
          <w:sz w:val="22"/>
          <w:szCs w:val="22"/>
        </w:rPr>
      </w:pPr>
      <w:r w:rsidRPr="008713BC">
        <w:rPr>
          <w:rFonts w:ascii="BentonSans Book" w:hAnsi="BentonSans Book"/>
          <w:b/>
          <w:sz w:val="22"/>
          <w:szCs w:val="22"/>
        </w:rPr>
        <w:t>5. List of Respondents</w:t>
      </w:r>
      <w:r w:rsidR="008713BC" w:rsidRPr="008713BC">
        <w:rPr>
          <w:rFonts w:ascii="BentonSans Book" w:hAnsi="BentonSans Book"/>
          <w:b/>
          <w:sz w:val="22"/>
          <w:szCs w:val="22"/>
        </w:rPr>
        <w:t xml:space="preserve">                                                                                      </w:t>
      </w:r>
    </w:p>
    <w:p w14:paraId="0C3CA8A1" w14:textId="77777777" w:rsidR="008713BC" w:rsidRPr="00BA5970" w:rsidRDefault="008713BC" w:rsidP="008713BC">
      <w:pPr>
        <w:tabs>
          <w:tab w:val="left" w:pos="6075"/>
        </w:tabs>
        <w:spacing w:line="276" w:lineRule="auto"/>
        <w:rPr>
          <w:rFonts w:ascii="BentonSans Book" w:eastAsia="Times New Roman" w:hAnsi="BentonSans Book" w:cs="Times New Roman"/>
        </w:rPr>
      </w:pPr>
      <w:r w:rsidRPr="00BA5970">
        <w:rPr>
          <w:rFonts w:ascii="BentonSans Book" w:eastAsia="Times New Roman" w:hAnsi="BentonSans Book" w:cs="Times New Roman"/>
        </w:rPr>
        <w:t xml:space="preserve">1. AB BANK RWANDA Ltd                         </w:t>
      </w:r>
    </w:p>
    <w:p w14:paraId="0E1DD4A0" w14:textId="77777777" w:rsidR="008713BC" w:rsidRPr="00BA5970" w:rsidRDefault="008713BC" w:rsidP="008713BC">
      <w:pPr>
        <w:spacing w:line="276" w:lineRule="auto"/>
        <w:rPr>
          <w:rFonts w:ascii="BentonSans Book" w:eastAsia="Times New Roman" w:hAnsi="BentonSans Book" w:cs="Times New Roman"/>
        </w:rPr>
      </w:pPr>
      <w:r w:rsidRPr="00BA5970">
        <w:rPr>
          <w:rFonts w:ascii="BentonSans Book" w:eastAsia="Times New Roman" w:hAnsi="BentonSans Book" w:cs="Times New Roman"/>
        </w:rPr>
        <w:t xml:space="preserve">2. ACCESS BANK RWANDA Plc                 </w:t>
      </w:r>
    </w:p>
    <w:p w14:paraId="2972B114" w14:textId="657F45A8" w:rsidR="008713BC" w:rsidRPr="00BA5970" w:rsidRDefault="008713BC" w:rsidP="008713BC">
      <w:pPr>
        <w:spacing w:line="276" w:lineRule="auto"/>
        <w:rPr>
          <w:rFonts w:ascii="BentonSans Book" w:eastAsia="Times New Roman" w:hAnsi="BentonSans Book" w:cs="Times New Roman"/>
        </w:rPr>
      </w:pPr>
      <w:r w:rsidRPr="00BA5970">
        <w:rPr>
          <w:rFonts w:ascii="BentonSans Book" w:eastAsia="Times New Roman" w:hAnsi="BentonSans Book" w:cs="Times New Roman"/>
        </w:rPr>
        <w:t xml:space="preserve">3. BANK OF AFRICA RWANDA Plc            </w:t>
      </w:r>
    </w:p>
    <w:p w14:paraId="30001386" w14:textId="77777777" w:rsidR="008713BC" w:rsidRPr="00BA5970" w:rsidRDefault="008713BC" w:rsidP="008713BC">
      <w:pPr>
        <w:spacing w:line="276" w:lineRule="auto"/>
        <w:rPr>
          <w:rFonts w:ascii="BentonSans Book" w:eastAsia="Times New Roman" w:hAnsi="BentonSans Book" w:cs="Times New Roman"/>
        </w:rPr>
      </w:pPr>
      <w:r w:rsidRPr="00BA5970">
        <w:rPr>
          <w:rFonts w:ascii="BentonSans Book" w:eastAsia="Times New Roman" w:hAnsi="BentonSans Book" w:cs="Times New Roman"/>
        </w:rPr>
        <w:t>4. BANK OF KIGALI Ltd</w:t>
      </w:r>
    </w:p>
    <w:p w14:paraId="0DF9CB8E" w14:textId="5EA02DBF" w:rsidR="008713BC" w:rsidRPr="00BA5970" w:rsidRDefault="008713BC" w:rsidP="008713BC">
      <w:pPr>
        <w:tabs>
          <w:tab w:val="left" w:pos="6075"/>
        </w:tabs>
        <w:spacing w:line="276" w:lineRule="auto"/>
        <w:rPr>
          <w:rFonts w:ascii="BentonSans Book" w:eastAsia="Times New Roman" w:hAnsi="BentonSans Book" w:cs="Times New Roman"/>
        </w:rPr>
      </w:pPr>
      <w:r w:rsidRPr="00BA5970">
        <w:rPr>
          <w:rFonts w:ascii="BentonSans Book" w:eastAsia="Times New Roman" w:hAnsi="BentonSans Book" w:cs="Times New Roman"/>
        </w:rPr>
        <w:t>5. BANQUE POPULAIRE DU RWANDA Ltd</w:t>
      </w:r>
    </w:p>
    <w:p w14:paraId="4302D230" w14:textId="77777777" w:rsidR="008713BC" w:rsidRPr="00BA5970" w:rsidRDefault="008713BC" w:rsidP="008713BC">
      <w:pPr>
        <w:tabs>
          <w:tab w:val="left" w:pos="6075"/>
        </w:tabs>
        <w:spacing w:line="276" w:lineRule="auto"/>
        <w:rPr>
          <w:rFonts w:ascii="BentonSans Book" w:eastAsia="Times New Roman" w:hAnsi="BentonSans Book" w:cs="Times New Roman"/>
        </w:rPr>
      </w:pPr>
      <w:r w:rsidRPr="00BA5970">
        <w:rPr>
          <w:rFonts w:ascii="BentonSans Book" w:eastAsia="Times New Roman" w:hAnsi="BentonSans Book" w:cs="Times New Roman"/>
        </w:rPr>
        <w:t xml:space="preserve">6. COGEBANQUE Plc                              </w:t>
      </w:r>
    </w:p>
    <w:p w14:paraId="5E465FD7" w14:textId="77777777" w:rsidR="008713BC" w:rsidRPr="00BA5970" w:rsidRDefault="008713BC" w:rsidP="008713BC">
      <w:pPr>
        <w:tabs>
          <w:tab w:val="left" w:pos="6075"/>
        </w:tabs>
        <w:spacing w:line="276" w:lineRule="auto"/>
        <w:rPr>
          <w:rFonts w:ascii="BentonSans Book" w:eastAsia="Times New Roman" w:hAnsi="BentonSans Book" w:cs="Times New Roman"/>
        </w:rPr>
      </w:pPr>
      <w:r w:rsidRPr="00BA5970">
        <w:rPr>
          <w:rFonts w:ascii="BentonSans Book" w:eastAsia="Times New Roman" w:hAnsi="BentonSans Book" w:cs="Times New Roman"/>
        </w:rPr>
        <w:t>7. COMMERCIAL BANK OF AFRICA RWANDA Plc</w:t>
      </w:r>
    </w:p>
    <w:p w14:paraId="4CD7A43B" w14:textId="77777777" w:rsidR="008713BC" w:rsidRPr="00BA5970" w:rsidRDefault="008713BC" w:rsidP="008713BC">
      <w:pPr>
        <w:tabs>
          <w:tab w:val="left" w:pos="6075"/>
        </w:tabs>
        <w:spacing w:line="276" w:lineRule="auto"/>
        <w:rPr>
          <w:rFonts w:ascii="BentonSans Book" w:eastAsia="Times New Roman" w:hAnsi="BentonSans Book" w:cs="Times New Roman"/>
        </w:rPr>
      </w:pPr>
      <w:r w:rsidRPr="00BA5970">
        <w:rPr>
          <w:rFonts w:ascii="BentonSans Book" w:eastAsia="Times New Roman" w:hAnsi="BentonSans Book" w:cs="Times New Roman"/>
        </w:rPr>
        <w:t>8. DEVELOPMENT BANK OF RWANDA Plc</w:t>
      </w:r>
    </w:p>
    <w:p w14:paraId="07C43F35" w14:textId="77777777" w:rsidR="008713BC" w:rsidRPr="00BA5970" w:rsidRDefault="008713BC" w:rsidP="008713BC">
      <w:pPr>
        <w:tabs>
          <w:tab w:val="left" w:pos="6075"/>
        </w:tabs>
        <w:spacing w:line="276" w:lineRule="auto"/>
        <w:rPr>
          <w:rFonts w:ascii="BentonSans Book" w:eastAsia="Times New Roman" w:hAnsi="BentonSans Book" w:cs="Times New Roman"/>
        </w:rPr>
      </w:pPr>
      <w:r w:rsidRPr="00BA5970">
        <w:rPr>
          <w:rFonts w:ascii="BentonSans Book" w:eastAsia="Times New Roman" w:hAnsi="BentonSans Book" w:cs="Times New Roman"/>
        </w:rPr>
        <w:t xml:space="preserve">9. ECOBANK RWANDA Ltd                       </w:t>
      </w:r>
    </w:p>
    <w:p w14:paraId="0EB98A95" w14:textId="77777777" w:rsidR="008713BC" w:rsidRPr="00BA5970" w:rsidRDefault="008713BC" w:rsidP="008713BC">
      <w:pPr>
        <w:tabs>
          <w:tab w:val="left" w:pos="6075"/>
        </w:tabs>
        <w:spacing w:line="276" w:lineRule="auto"/>
        <w:rPr>
          <w:rFonts w:ascii="BentonSans Book" w:eastAsia="Times New Roman" w:hAnsi="BentonSans Book" w:cs="Times New Roman"/>
        </w:rPr>
      </w:pPr>
      <w:r w:rsidRPr="00BA5970">
        <w:rPr>
          <w:rFonts w:ascii="BentonSans Book" w:eastAsia="Times New Roman" w:hAnsi="BentonSans Book" w:cs="Times New Roman"/>
        </w:rPr>
        <w:t>10. EQUITY BANK RWANDA Plc</w:t>
      </w:r>
    </w:p>
    <w:p w14:paraId="7F061DB0" w14:textId="77777777" w:rsidR="008713BC" w:rsidRPr="00BA5970" w:rsidRDefault="008713BC" w:rsidP="008713BC">
      <w:pPr>
        <w:tabs>
          <w:tab w:val="left" w:pos="6075"/>
        </w:tabs>
        <w:spacing w:line="276" w:lineRule="auto"/>
        <w:rPr>
          <w:rFonts w:ascii="BentonSans Book" w:eastAsia="Times New Roman" w:hAnsi="BentonSans Book" w:cs="Times New Roman"/>
        </w:rPr>
      </w:pPr>
      <w:r w:rsidRPr="00BA5970">
        <w:rPr>
          <w:rFonts w:ascii="BentonSans Book" w:eastAsia="Times New Roman" w:hAnsi="BentonSans Book" w:cs="Times New Roman"/>
        </w:rPr>
        <w:t>11. GT BANK RWANDA Plc</w:t>
      </w:r>
    </w:p>
    <w:p w14:paraId="28ADE58C" w14:textId="77777777" w:rsidR="008713BC" w:rsidRPr="00BA5970" w:rsidRDefault="008713BC" w:rsidP="008713BC">
      <w:pPr>
        <w:tabs>
          <w:tab w:val="left" w:pos="6075"/>
        </w:tabs>
        <w:spacing w:line="276" w:lineRule="auto"/>
        <w:rPr>
          <w:rFonts w:ascii="BentonSans Book" w:eastAsia="Times New Roman" w:hAnsi="BentonSans Book" w:cs="Times New Roman"/>
        </w:rPr>
      </w:pPr>
      <w:r w:rsidRPr="00BA5970">
        <w:rPr>
          <w:rFonts w:ascii="BentonSans Book" w:eastAsia="Times New Roman" w:hAnsi="BentonSans Book" w:cs="Times New Roman"/>
        </w:rPr>
        <w:t xml:space="preserve">12. I&amp;M BANK Plc                                       </w:t>
      </w:r>
    </w:p>
    <w:p w14:paraId="324BE209" w14:textId="4207F1EC" w:rsidR="008713BC" w:rsidRPr="00BA5970" w:rsidRDefault="008713BC" w:rsidP="008713BC">
      <w:pPr>
        <w:tabs>
          <w:tab w:val="left" w:pos="6075"/>
        </w:tabs>
        <w:spacing w:line="276" w:lineRule="auto"/>
        <w:rPr>
          <w:rFonts w:ascii="BentonSans Book" w:eastAsia="Times New Roman" w:hAnsi="BentonSans Book" w:cs="Times New Roman"/>
        </w:rPr>
      </w:pPr>
      <w:r w:rsidRPr="00BA5970">
        <w:rPr>
          <w:rFonts w:ascii="BentonSans Book" w:eastAsia="Times New Roman" w:hAnsi="BentonSans Book" w:cs="Times New Roman"/>
        </w:rPr>
        <w:t>13. KCB RWANDA Ltd</w:t>
      </w:r>
    </w:p>
    <w:p w14:paraId="242B3343" w14:textId="77777777" w:rsidR="008713BC" w:rsidRPr="00BA5970" w:rsidRDefault="008713BC" w:rsidP="008713BC">
      <w:pPr>
        <w:tabs>
          <w:tab w:val="left" w:pos="6075"/>
        </w:tabs>
        <w:spacing w:line="276" w:lineRule="auto"/>
        <w:rPr>
          <w:rFonts w:ascii="BentonSans Book" w:eastAsia="Times New Roman" w:hAnsi="BentonSans Book" w:cs="Times New Roman"/>
        </w:rPr>
      </w:pPr>
      <w:r w:rsidRPr="00BA5970">
        <w:rPr>
          <w:rFonts w:ascii="BentonSans Book" w:eastAsia="Times New Roman" w:hAnsi="BentonSans Book" w:cs="Times New Roman"/>
        </w:rPr>
        <w:t>14. UNGUKA BANK Ltd</w:t>
      </w:r>
    </w:p>
    <w:p w14:paraId="285A4977" w14:textId="77777777" w:rsidR="008713BC" w:rsidRPr="00BA5970" w:rsidRDefault="008713BC" w:rsidP="008713BC">
      <w:pPr>
        <w:tabs>
          <w:tab w:val="left" w:pos="6075"/>
        </w:tabs>
        <w:spacing w:line="276" w:lineRule="auto"/>
        <w:rPr>
          <w:rFonts w:ascii="BentonSans Book" w:eastAsia="Times New Roman" w:hAnsi="BentonSans Book" w:cs="Times New Roman"/>
        </w:rPr>
      </w:pPr>
      <w:r w:rsidRPr="00BA5970">
        <w:rPr>
          <w:rFonts w:ascii="BentonSans Book" w:eastAsia="Times New Roman" w:hAnsi="BentonSans Book" w:cs="Times New Roman"/>
        </w:rPr>
        <w:t xml:space="preserve">15. URWEGO BANK Plc                              </w:t>
      </w:r>
    </w:p>
    <w:p w14:paraId="2AC10F95" w14:textId="77777777" w:rsidR="008713BC" w:rsidRPr="008713BC" w:rsidRDefault="008713BC" w:rsidP="008713BC">
      <w:pPr>
        <w:tabs>
          <w:tab w:val="left" w:pos="6075"/>
        </w:tabs>
        <w:spacing w:line="276" w:lineRule="auto"/>
        <w:rPr>
          <w:rFonts w:ascii="BentonSans Book" w:eastAsia="Times New Roman" w:hAnsi="BentonSans Book" w:cs="Times New Roman"/>
        </w:rPr>
      </w:pPr>
      <w:r w:rsidRPr="00BA5970">
        <w:rPr>
          <w:rFonts w:ascii="BentonSans Book" w:eastAsia="Times New Roman" w:hAnsi="BentonSans Book" w:cs="Times New Roman"/>
        </w:rPr>
        <w:t xml:space="preserve">16. ZIGAMA CSS                                     </w:t>
      </w:r>
    </w:p>
    <w:p w14:paraId="4B7F8731" w14:textId="77777777" w:rsidR="00E75BAA" w:rsidRPr="008713BC" w:rsidRDefault="00E75BAA" w:rsidP="00E75BAA">
      <w:pPr>
        <w:spacing w:line="240" w:lineRule="auto"/>
        <w:ind w:right="-180"/>
        <w:rPr>
          <w:rFonts w:ascii="BentonSans Book" w:eastAsia="Times New Roman" w:hAnsi="BentonSans Book" w:cs="Times New Roman"/>
        </w:rPr>
      </w:pPr>
    </w:p>
    <w:p w14:paraId="76724840" w14:textId="77777777" w:rsidR="00E75BAA" w:rsidRPr="007B0230" w:rsidRDefault="00E75BAA" w:rsidP="00E75BAA">
      <w:pPr>
        <w:ind w:right="-180"/>
        <w:rPr>
          <w:rFonts w:ascii="Bookman Old Style" w:hAnsi="Bookman Old Style"/>
        </w:rPr>
      </w:pPr>
      <w:r w:rsidRPr="007B0230">
        <w:rPr>
          <w:rFonts w:ascii="Bookman Old Style" w:hAnsi="Bookman Old Style"/>
        </w:rPr>
        <w:tab/>
      </w:r>
    </w:p>
    <w:p w14:paraId="194ABD35" w14:textId="77777777" w:rsidR="00E75BAA" w:rsidRPr="007B0230" w:rsidRDefault="00E75BAA" w:rsidP="00E75BAA">
      <w:pPr>
        <w:ind w:right="-180"/>
        <w:rPr>
          <w:rFonts w:ascii="Bookman Old Style" w:hAnsi="Bookman Old Style"/>
        </w:rPr>
      </w:pPr>
    </w:p>
    <w:p w14:paraId="63495AC4" w14:textId="77777777" w:rsidR="00E75BAA" w:rsidRPr="008647D2" w:rsidRDefault="00E75BAA" w:rsidP="00E75BAA">
      <w:pPr>
        <w:spacing w:after="0" w:line="240" w:lineRule="auto"/>
        <w:jc w:val="both"/>
        <w:rPr>
          <w:rFonts w:ascii="Bookman Old Style" w:hAnsi="Bookman Old Style"/>
          <w:b/>
        </w:rPr>
      </w:pPr>
    </w:p>
    <w:p w14:paraId="102BFA1B" w14:textId="77777777" w:rsidR="00E75BAA" w:rsidRPr="00625AD1" w:rsidRDefault="00E75BAA" w:rsidP="00E75BAA">
      <w:pPr>
        <w:spacing w:line="360" w:lineRule="auto"/>
        <w:jc w:val="both"/>
        <w:rPr>
          <w:rFonts w:ascii="Bookman Old Style" w:hAnsi="Bookman Old Style"/>
          <w:sz w:val="28"/>
          <w:lang w:val="en-GB"/>
        </w:rPr>
      </w:pPr>
    </w:p>
    <w:p w14:paraId="02269CAD" w14:textId="77777777" w:rsidR="00E75BAA" w:rsidRDefault="00E75BAA" w:rsidP="00E75BAA">
      <w:pPr>
        <w:spacing w:after="0"/>
        <w:jc w:val="both"/>
        <w:rPr>
          <w:rFonts w:ascii="Bookman Old Style" w:eastAsia="Calibri" w:hAnsi="Bookman Old Style" w:cs="Calibri"/>
          <w:color w:val="000000"/>
        </w:rPr>
      </w:pPr>
    </w:p>
    <w:p w14:paraId="1E555B89" w14:textId="77777777" w:rsidR="00E75BAA" w:rsidRDefault="00E75BAA" w:rsidP="00E75BAA">
      <w:pPr>
        <w:spacing w:after="0"/>
        <w:jc w:val="both"/>
        <w:rPr>
          <w:rFonts w:ascii="Bookman Old Style" w:eastAsia="Calibri" w:hAnsi="Bookman Old Style" w:cs="Calibri"/>
          <w:color w:val="000000"/>
        </w:rPr>
      </w:pPr>
    </w:p>
    <w:p w14:paraId="4BA56393" w14:textId="77777777" w:rsidR="00BA5970" w:rsidRDefault="00BA5970" w:rsidP="00E75BAA">
      <w:pPr>
        <w:spacing w:after="0"/>
        <w:jc w:val="both"/>
        <w:rPr>
          <w:rFonts w:ascii="Bookman Old Style" w:eastAsia="Calibri" w:hAnsi="Bookman Old Style" w:cs="Calibri"/>
          <w:color w:val="000000"/>
        </w:rPr>
      </w:pPr>
    </w:p>
    <w:p w14:paraId="22E9CFDA" w14:textId="77777777" w:rsidR="00BA5970" w:rsidRDefault="00BA5970" w:rsidP="00E75BAA">
      <w:pPr>
        <w:spacing w:after="0"/>
        <w:jc w:val="both"/>
        <w:rPr>
          <w:rFonts w:ascii="Bookman Old Style" w:eastAsia="Calibri" w:hAnsi="Bookman Old Style" w:cs="Calibri"/>
          <w:color w:val="000000"/>
        </w:rPr>
      </w:pPr>
    </w:p>
    <w:p w14:paraId="7ED7A2AD" w14:textId="77777777" w:rsidR="00BA5970" w:rsidRDefault="00BA5970" w:rsidP="00E75BAA">
      <w:pPr>
        <w:spacing w:after="0"/>
        <w:jc w:val="both"/>
        <w:rPr>
          <w:rFonts w:ascii="Bookman Old Style" w:eastAsia="Calibri" w:hAnsi="Bookman Old Style" w:cs="Calibri"/>
          <w:color w:val="000000"/>
        </w:rPr>
      </w:pPr>
    </w:p>
    <w:p w14:paraId="3188C7CD" w14:textId="77777777" w:rsidR="00BA5970" w:rsidRDefault="00BA5970" w:rsidP="00E75BAA">
      <w:pPr>
        <w:spacing w:after="0"/>
        <w:jc w:val="both"/>
        <w:rPr>
          <w:rFonts w:ascii="Bookman Old Style" w:eastAsia="Calibri" w:hAnsi="Bookman Old Style" w:cs="Calibri"/>
          <w:color w:val="000000"/>
        </w:rPr>
      </w:pPr>
    </w:p>
    <w:p w14:paraId="6765CE2D" w14:textId="77777777" w:rsidR="00BA5970" w:rsidRDefault="00BA5970" w:rsidP="00E75BAA">
      <w:pPr>
        <w:spacing w:after="0"/>
        <w:jc w:val="both"/>
        <w:rPr>
          <w:rFonts w:ascii="Bookman Old Style" w:eastAsia="Calibri" w:hAnsi="Bookman Old Style" w:cs="Calibri"/>
          <w:color w:val="000000"/>
        </w:rPr>
      </w:pPr>
    </w:p>
    <w:p w14:paraId="47A371DC" w14:textId="77777777" w:rsidR="00BA5970" w:rsidRDefault="00BA5970" w:rsidP="00E75BAA">
      <w:pPr>
        <w:spacing w:after="0"/>
        <w:jc w:val="both"/>
        <w:rPr>
          <w:rFonts w:ascii="Bookman Old Style" w:eastAsia="Calibri" w:hAnsi="Bookman Old Style" w:cs="Calibri"/>
          <w:color w:val="000000"/>
        </w:rPr>
      </w:pPr>
    </w:p>
    <w:p w14:paraId="6453D2C5" w14:textId="77777777" w:rsidR="00E75BAA" w:rsidRDefault="00E75BAA" w:rsidP="00E75BAA">
      <w:pPr>
        <w:spacing w:after="0"/>
        <w:jc w:val="both"/>
        <w:rPr>
          <w:rFonts w:ascii="Bookman Old Style" w:eastAsia="Calibri" w:hAnsi="Bookman Old Style" w:cs="Calibri"/>
          <w:color w:val="000000"/>
        </w:rPr>
      </w:pPr>
    </w:p>
    <w:p w14:paraId="7EC9C533" w14:textId="77777777" w:rsidR="00E75BAA" w:rsidRDefault="00E75BAA" w:rsidP="00E75BAA">
      <w:pPr>
        <w:spacing w:after="0"/>
        <w:jc w:val="both"/>
        <w:rPr>
          <w:rFonts w:ascii="Bookman Old Style" w:eastAsia="Calibri" w:hAnsi="Bookman Old Style" w:cs="Calibri"/>
          <w:color w:val="000000"/>
        </w:rPr>
      </w:pPr>
    </w:p>
    <w:p w14:paraId="1D9F3C7A" w14:textId="77777777" w:rsidR="00E75BAA" w:rsidRDefault="00E75BAA" w:rsidP="00E75BAA">
      <w:pPr>
        <w:spacing w:after="0"/>
        <w:jc w:val="both"/>
        <w:rPr>
          <w:rFonts w:ascii="Bookman Old Style" w:eastAsia="Calibri" w:hAnsi="Bookman Old Style" w:cs="Calibri"/>
          <w:color w:val="000000"/>
        </w:rPr>
      </w:pPr>
    </w:p>
    <w:p w14:paraId="00DFCD0C" w14:textId="77777777" w:rsidR="00E75BAA" w:rsidRDefault="00E75BAA" w:rsidP="00E75BAA">
      <w:pPr>
        <w:spacing w:after="0"/>
        <w:jc w:val="both"/>
        <w:rPr>
          <w:rFonts w:ascii="Bookman Old Style" w:eastAsia="Calibri" w:hAnsi="Bookman Old Style" w:cs="Calibri"/>
          <w:color w:val="000000"/>
        </w:rPr>
      </w:pPr>
    </w:p>
    <w:p w14:paraId="24C9E5BB" w14:textId="77777777" w:rsidR="00E75BAA" w:rsidRDefault="00E75BAA" w:rsidP="00E75BAA">
      <w:pPr>
        <w:pStyle w:val="NoSpacing"/>
        <w:shd w:val="clear" w:color="auto" w:fill="CC9900"/>
        <w:jc w:val="center"/>
      </w:pPr>
    </w:p>
    <w:p w14:paraId="707EFC64" w14:textId="77777777" w:rsidR="00E75BAA" w:rsidRDefault="00E75BAA" w:rsidP="00E75BAA">
      <w:pPr>
        <w:pStyle w:val="NoSpacing"/>
        <w:shd w:val="clear" w:color="auto" w:fill="CC9900"/>
        <w:jc w:val="center"/>
      </w:pPr>
    </w:p>
    <w:p w14:paraId="52A57C47" w14:textId="77777777" w:rsidR="00E75BAA" w:rsidRDefault="00E75BAA" w:rsidP="00E75BAA">
      <w:pPr>
        <w:pStyle w:val="NoSpacing"/>
        <w:shd w:val="clear" w:color="auto" w:fill="CC9900"/>
        <w:jc w:val="center"/>
      </w:pPr>
    </w:p>
    <w:p w14:paraId="319DA043" w14:textId="77777777" w:rsidR="00E75BAA" w:rsidRDefault="00E75BAA" w:rsidP="00E75BAA">
      <w:pPr>
        <w:pStyle w:val="NoSpacing"/>
        <w:shd w:val="clear" w:color="auto" w:fill="CC9900"/>
        <w:jc w:val="center"/>
      </w:pPr>
    </w:p>
    <w:p w14:paraId="0719F679" w14:textId="77777777" w:rsidR="00E75BAA" w:rsidRDefault="00E75BAA" w:rsidP="00E75BAA">
      <w:pPr>
        <w:pStyle w:val="NoSpacing"/>
        <w:shd w:val="clear" w:color="auto" w:fill="CC9900"/>
        <w:jc w:val="center"/>
      </w:pPr>
    </w:p>
    <w:p w14:paraId="0A11220E" w14:textId="77777777" w:rsidR="00E75BAA" w:rsidRDefault="00E75BAA" w:rsidP="00E75BAA">
      <w:pPr>
        <w:pStyle w:val="NoSpacing"/>
        <w:shd w:val="clear" w:color="auto" w:fill="CC9900"/>
        <w:jc w:val="center"/>
      </w:pPr>
    </w:p>
    <w:p w14:paraId="4E541900" w14:textId="77777777" w:rsidR="00E75BAA" w:rsidRDefault="00E75BAA" w:rsidP="00E75BAA">
      <w:pPr>
        <w:pStyle w:val="NoSpacing"/>
        <w:shd w:val="clear" w:color="auto" w:fill="CC9900"/>
        <w:jc w:val="center"/>
      </w:pPr>
    </w:p>
    <w:p w14:paraId="0B4FEB65" w14:textId="77777777" w:rsidR="00E75BAA" w:rsidRDefault="00E75BAA" w:rsidP="00E75BAA">
      <w:pPr>
        <w:pStyle w:val="NoSpacing"/>
        <w:shd w:val="clear" w:color="auto" w:fill="CC9900"/>
        <w:jc w:val="center"/>
      </w:pPr>
    </w:p>
    <w:p w14:paraId="140645BB" w14:textId="77777777" w:rsidR="00E75BAA" w:rsidRDefault="00E75BAA" w:rsidP="00E75BAA">
      <w:pPr>
        <w:pStyle w:val="NoSpacing"/>
        <w:shd w:val="clear" w:color="auto" w:fill="CC9900"/>
        <w:jc w:val="center"/>
      </w:pPr>
    </w:p>
    <w:p w14:paraId="4FADC7B6" w14:textId="77777777" w:rsidR="00E75BAA" w:rsidRDefault="00E75BAA" w:rsidP="00E75BAA">
      <w:pPr>
        <w:pStyle w:val="NoSpacing"/>
        <w:shd w:val="clear" w:color="auto" w:fill="CC9900"/>
        <w:jc w:val="center"/>
      </w:pPr>
    </w:p>
    <w:p w14:paraId="58D37479" w14:textId="77777777" w:rsidR="00E75BAA" w:rsidRDefault="00E75BAA" w:rsidP="00E75BAA">
      <w:pPr>
        <w:pStyle w:val="NoSpacing"/>
        <w:shd w:val="clear" w:color="auto" w:fill="CC9900"/>
        <w:jc w:val="center"/>
      </w:pPr>
    </w:p>
    <w:p w14:paraId="43281A40" w14:textId="77777777" w:rsidR="00E75BAA" w:rsidRDefault="00E75BAA" w:rsidP="00E75BAA">
      <w:pPr>
        <w:pStyle w:val="NoSpacing"/>
        <w:shd w:val="clear" w:color="auto" w:fill="CC9900"/>
        <w:jc w:val="center"/>
      </w:pPr>
    </w:p>
    <w:p w14:paraId="7483F059" w14:textId="77777777" w:rsidR="00E75BAA" w:rsidRDefault="00E75BAA" w:rsidP="00E75BAA">
      <w:pPr>
        <w:pStyle w:val="NoSpacing"/>
        <w:shd w:val="clear" w:color="auto" w:fill="CC9900"/>
        <w:jc w:val="center"/>
      </w:pPr>
    </w:p>
    <w:p w14:paraId="04A88424" w14:textId="77777777" w:rsidR="00E75BAA" w:rsidRDefault="00E75BAA" w:rsidP="00E75BAA">
      <w:pPr>
        <w:pStyle w:val="NoSpacing"/>
        <w:shd w:val="clear" w:color="auto" w:fill="CC9900"/>
        <w:jc w:val="center"/>
      </w:pPr>
    </w:p>
    <w:p w14:paraId="4FE20BA7" w14:textId="77777777" w:rsidR="00E75BAA" w:rsidRDefault="00E75BAA" w:rsidP="00E75BAA">
      <w:pPr>
        <w:pStyle w:val="NoSpacing"/>
        <w:shd w:val="clear" w:color="auto" w:fill="CC9900"/>
        <w:jc w:val="center"/>
      </w:pPr>
    </w:p>
    <w:p w14:paraId="2DE5F6D0" w14:textId="77777777" w:rsidR="00E75BAA" w:rsidRDefault="00E75BAA" w:rsidP="00E75BAA">
      <w:pPr>
        <w:pStyle w:val="NoSpacing"/>
        <w:shd w:val="clear" w:color="auto" w:fill="CC9900"/>
        <w:jc w:val="center"/>
      </w:pPr>
    </w:p>
    <w:p w14:paraId="6A3A47AD" w14:textId="77777777" w:rsidR="00E75BAA" w:rsidRDefault="00E75BAA" w:rsidP="00E75BAA">
      <w:pPr>
        <w:pStyle w:val="NoSpacing"/>
        <w:shd w:val="clear" w:color="auto" w:fill="CC9900"/>
        <w:jc w:val="center"/>
      </w:pPr>
    </w:p>
    <w:p w14:paraId="58DCA7F0" w14:textId="77777777" w:rsidR="00E75BAA" w:rsidRDefault="00E75BAA" w:rsidP="00E75BAA">
      <w:pPr>
        <w:pStyle w:val="NoSpacing"/>
        <w:shd w:val="clear" w:color="auto" w:fill="CC9900"/>
        <w:jc w:val="center"/>
      </w:pPr>
    </w:p>
    <w:p w14:paraId="24239834" w14:textId="77777777" w:rsidR="00E75BAA" w:rsidRDefault="00E75BAA" w:rsidP="00E75BAA">
      <w:pPr>
        <w:pStyle w:val="NoSpacing"/>
        <w:shd w:val="clear" w:color="auto" w:fill="CC9900"/>
        <w:jc w:val="center"/>
      </w:pPr>
      <w:r w:rsidRPr="00A97E30">
        <w:rPr>
          <w:noProof/>
        </w:rPr>
        <w:drawing>
          <wp:inline distT="0" distB="0" distL="0" distR="0" wp14:anchorId="47E5904D" wp14:editId="4CDDC425">
            <wp:extent cx="4048125" cy="16668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48125" cy="1666875"/>
                    </a:xfrm>
                    <a:prstGeom prst="rect">
                      <a:avLst/>
                    </a:prstGeom>
                    <a:noFill/>
                    <a:ln>
                      <a:noFill/>
                    </a:ln>
                  </pic:spPr>
                </pic:pic>
              </a:graphicData>
            </a:graphic>
          </wp:inline>
        </w:drawing>
      </w:r>
    </w:p>
    <w:p w14:paraId="0492B998" w14:textId="77777777" w:rsidR="00E75BAA" w:rsidRDefault="00E75BAA" w:rsidP="00E75BAA">
      <w:pPr>
        <w:pStyle w:val="NoSpacing"/>
        <w:shd w:val="clear" w:color="auto" w:fill="CC9900"/>
        <w:jc w:val="center"/>
      </w:pPr>
    </w:p>
    <w:p w14:paraId="0BE6A043" w14:textId="77777777" w:rsidR="00E75BAA" w:rsidRDefault="00E75BAA" w:rsidP="00E75BAA">
      <w:pPr>
        <w:pStyle w:val="NoSpacing"/>
        <w:shd w:val="clear" w:color="auto" w:fill="CC9900"/>
        <w:jc w:val="center"/>
      </w:pPr>
    </w:p>
    <w:p w14:paraId="299EEBFB" w14:textId="77777777" w:rsidR="00E75BAA" w:rsidRDefault="00E75BAA" w:rsidP="00E75BAA">
      <w:pPr>
        <w:pStyle w:val="NoSpacing"/>
        <w:shd w:val="clear" w:color="auto" w:fill="CC9900"/>
        <w:jc w:val="center"/>
      </w:pPr>
    </w:p>
    <w:p w14:paraId="50CFB428" w14:textId="77777777" w:rsidR="00E75BAA" w:rsidRDefault="00E75BAA" w:rsidP="00E75BAA">
      <w:pPr>
        <w:pStyle w:val="NoSpacing"/>
        <w:shd w:val="clear" w:color="auto" w:fill="CC9900"/>
        <w:jc w:val="center"/>
      </w:pPr>
    </w:p>
    <w:p w14:paraId="4B3F304E" w14:textId="77777777" w:rsidR="00E75BAA" w:rsidRDefault="00E75BAA" w:rsidP="00E75BAA">
      <w:pPr>
        <w:pStyle w:val="NoSpacing"/>
        <w:shd w:val="clear" w:color="auto" w:fill="CC9900"/>
        <w:jc w:val="center"/>
      </w:pPr>
    </w:p>
    <w:p w14:paraId="522D0F01" w14:textId="77777777" w:rsidR="00E75BAA" w:rsidRDefault="00E75BAA" w:rsidP="00E75BAA">
      <w:pPr>
        <w:pStyle w:val="NoSpacing"/>
        <w:shd w:val="clear" w:color="auto" w:fill="CC9900"/>
        <w:jc w:val="center"/>
      </w:pPr>
    </w:p>
    <w:p w14:paraId="25A57E12" w14:textId="77777777" w:rsidR="00E75BAA" w:rsidRDefault="00E75BAA" w:rsidP="00E75BAA">
      <w:pPr>
        <w:pStyle w:val="NoSpacing"/>
        <w:shd w:val="clear" w:color="auto" w:fill="CC9900"/>
        <w:jc w:val="center"/>
      </w:pPr>
    </w:p>
    <w:p w14:paraId="58E230CF" w14:textId="77777777" w:rsidR="00E75BAA" w:rsidRDefault="00E75BAA" w:rsidP="00E75BAA">
      <w:pPr>
        <w:pStyle w:val="NoSpacing"/>
        <w:shd w:val="clear" w:color="auto" w:fill="CC9900"/>
        <w:jc w:val="center"/>
      </w:pPr>
    </w:p>
    <w:p w14:paraId="78775ED8" w14:textId="77777777" w:rsidR="00E75BAA" w:rsidRDefault="00E75BAA" w:rsidP="00E75BAA">
      <w:pPr>
        <w:pStyle w:val="NoSpacing"/>
        <w:shd w:val="clear" w:color="auto" w:fill="CC9900"/>
        <w:jc w:val="center"/>
      </w:pPr>
    </w:p>
    <w:p w14:paraId="167E8905" w14:textId="77777777" w:rsidR="00E75BAA" w:rsidRDefault="00E75BAA" w:rsidP="00E75BAA">
      <w:pPr>
        <w:pStyle w:val="NoSpacing"/>
        <w:shd w:val="clear" w:color="auto" w:fill="CC9900"/>
        <w:jc w:val="center"/>
      </w:pPr>
    </w:p>
    <w:p w14:paraId="0F5B44BC" w14:textId="77777777" w:rsidR="00E75BAA" w:rsidRDefault="00E75BAA" w:rsidP="00E75BAA">
      <w:pPr>
        <w:pStyle w:val="NoSpacing"/>
        <w:shd w:val="clear" w:color="auto" w:fill="CC9900"/>
        <w:jc w:val="center"/>
      </w:pPr>
    </w:p>
    <w:p w14:paraId="3B689173" w14:textId="77777777" w:rsidR="00E75BAA" w:rsidRDefault="00E75BAA" w:rsidP="00E75BAA">
      <w:pPr>
        <w:pStyle w:val="NoSpacing"/>
        <w:shd w:val="clear" w:color="auto" w:fill="CC9900"/>
        <w:jc w:val="center"/>
      </w:pPr>
    </w:p>
    <w:p w14:paraId="609F182E" w14:textId="2574A82A" w:rsidR="00D85BF4" w:rsidRPr="00E75BAA" w:rsidRDefault="00D85BF4" w:rsidP="00E75BAA">
      <w:pPr>
        <w:spacing w:after="0"/>
        <w:jc w:val="both"/>
        <w:rPr>
          <w:rFonts w:ascii="Bookman Old Style" w:eastAsia="Calibri" w:hAnsi="Bookman Old Style" w:cs="Calibri"/>
          <w:color w:val="000000"/>
        </w:rPr>
      </w:pPr>
      <w:bookmarkStart w:id="0" w:name="_GoBack"/>
      <w:bookmarkEnd w:id="0"/>
    </w:p>
    <w:sectPr w:rsidR="00D85BF4" w:rsidRPr="00E75BAA" w:rsidSect="00A9267E">
      <w:footerReference w:type="default" r:id="rId26"/>
      <w:pgSz w:w="12240" w:h="15840"/>
      <w:pgMar w:top="990" w:right="1260" w:bottom="1350" w:left="1440" w:header="720" w:footer="720" w:gutter="0"/>
      <w:pgBorders w:offsetFrom="page">
        <w:top w:val="double" w:sz="4" w:space="24" w:color="BF8F00" w:themeColor="accent4" w:themeShade="BF"/>
        <w:left w:val="double" w:sz="4" w:space="24" w:color="BF8F00" w:themeColor="accent4" w:themeShade="BF"/>
        <w:bottom w:val="double" w:sz="4" w:space="24" w:color="BF8F00" w:themeColor="accent4" w:themeShade="BF"/>
        <w:right w:val="double" w:sz="4" w:space="24" w:color="BF8F00" w:themeColor="accent4" w:themeShade="BF"/>
      </w:pgBorders>
      <w:pgNumType w:fmt="numberInDash"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F0E912" w14:textId="77777777" w:rsidR="007151C5" w:rsidRDefault="007151C5" w:rsidP="002D5ADD">
      <w:pPr>
        <w:spacing w:after="0" w:line="240" w:lineRule="auto"/>
      </w:pPr>
      <w:r>
        <w:separator/>
      </w:r>
    </w:p>
  </w:endnote>
  <w:endnote w:type="continuationSeparator" w:id="0">
    <w:p w14:paraId="7BC0A764" w14:textId="77777777" w:rsidR="007151C5" w:rsidRDefault="007151C5" w:rsidP="002D5A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E00006FF" w:usb1="400004FF" w:usb2="00000000" w:usb3="00000000" w:csb0="0000019F" w:csb1="00000000"/>
  </w:font>
  <w:font w:name="Frutiger CE 45 Light">
    <w:altName w:val="Frutiger CE 45 Light"/>
    <w:panose1 w:val="00000000000000000000"/>
    <w:charset w:val="00"/>
    <w:family w:val="swiss"/>
    <w:notTrueType/>
    <w:pitch w:val="default"/>
    <w:sig w:usb0="00000003" w:usb1="00000000" w:usb2="00000000" w:usb3="00000000" w:csb0="00000001" w:csb1="00000000"/>
  </w:font>
  <w:font w:name="HelveticaNeueLT Pro 65 Md">
    <w:altName w:val="HelveticaNeueLT Pro 65 Md"/>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entonSans Book">
    <w:altName w:val="Corbel"/>
    <w:panose1 w:val="00000000000000000000"/>
    <w:charset w:val="00"/>
    <w:family w:val="modern"/>
    <w:notTrueType/>
    <w:pitch w:val="variable"/>
    <w:sig w:usb0="8000002F" w:usb1="50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45ED4" w14:textId="77777777" w:rsidR="00C11618" w:rsidRDefault="00C11618" w:rsidP="00E35D50">
    <w:pPr>
      <w:pStyle w:val="Footer"/>
      <w:jc w:val="center"/>
    </w:pPr>
  </w:p>
  <w:p w14:paraId="20D6C049" w14:textId="77777777" w:rsidR="00C11618" w:rsidRDefault="00C11618" w:rsidP="000E1A39">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BentonSans Book" w:hAnsi="BentonSans Book"/>
      </w:rPr>
      <w:id w:val="1558048110"/>
      <w:docPartObj>
        <w:docPartGallery w:val="Page Numbers (Bottom of Page)"/>
        <w:docPartUnique/>
      </w:docPartObj>
    </w:sdtPr>
    <w:sdtEndPr/>
    <w:sdtContent>
      <w:p w14:paraId="0D68907F" w14:textId="77777777" w:rsidR="00C11618" w:rsidRPr="00CD56D3" w:rsidRDefault="00C11618">
        <w:pPr>
          <w:pStyle w:val="Footer"/>
          <w:jc w:val="right"/>
          <w:rPr>
            <w:rFonts w:ascii="BentonSans Book" w:hAnsi="BentonSans Book"/>
          </w:rPr>
        </w:pPr>
        <w:r w:rsidRPr="00CD56D3">
          <w:rPr>
            <w:rFonts w:ascii="BentonSans Book" w:hAnsi="BentonSans Book"/>
            <w:noProof/>
          </w:rPr>
          <mc:AlternateContent>
            <mc:Choice Requires="wps">
              <w:drawing>
                <wp:anchor distT="0" distB="0" distL="114300" distR="114300" simplePos="0" relativeHeight="251659264" behindDoc="0" locked="0" layoutInCell="1" allowOverlap="1" wp14:anchorId="3A7A97D4" wp14:editId="0C1F84CC">
                  <wp:simplePos x="0" y="0"/>
                  <wp:positionH relativeFrom="margin">
                    <wp:align>right</wp:align>
                  </wp:positionH>
                  <wp:positionV relativeFrom="paragraph">
                    <wp:posOffset>226060</wp:posOffset>
                  </wp:positionV>
                  <wp:extent cx="485775" cy="285750"/>
                  <wp:effectExtent l="0" t="0" r="28575" b="19050"/>
                  <wp:wrapNone/>
                  <wp:docPr id="110" name="Text Box 110"/>
                  <wp:cNvGraphicFramePr/>
                  <a:graphic xmlns:a="http://schemas.openxmlformats.org/drawingml/2006/main">
                    <a:graphicData uri="http://schemas.microsoft.com/office/word/2010/wordprocessingShape">
                      <wps:wsp>
                        <wps:cNvSpPr txBox="1"/>
                        <wps:spPr>
                          <a:xfrm>
                            <a:off x="0" y="0"/>
                            <a:ext cx="485775" cy="285750"/>
                          </a:xfrm>
                          <a:prstGeom prst="rect">
                            <a:avLst/>
                          </a:prstGeom>
                          <a:solidFill>
                            <a:schemeClr val="accent5">
                              <a:lumMod val="20000"/>
                              <a:lumOff val="80000"/>
                            </a:schemeClr>
                          </a:solidFill>
                          <a:ln w="6350">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14:paraId="5AAE1F60" w14:textId="2D91C4D0" w:rsidR="00C11618" w:rsidRPr="00CD56D3" w:rsidRDefault="00C11618" w:rsidP="002A7796">
                              <w:pPr>
                                <w:pStyle w:val="Footer"/>
                                <w:shd w:val="clear" w:color="auto" w:fill="FFC000" w:themeFill="accent4"/>
                                <w:jc w:val="center"/>
                                <w:rPr>
                                  <w:rFonts w:ascii="BentonSans Book" w:hAnsi="BentonSans Book"/>
                                  <w:sz w:val="26"/>
                                </w:rPr>
                              </w:pPr>
                              <w:r w:rsidRPr="00CD56D3">
                                <w:rPr>
                                  <w:rFonts w:ascii="BentonSans Book" w:hAnsi="BentonSans Book"/>
                                  <w:sz w:val="26"/>
                                </w:rPr>
                                <w:fldChar w:fldCharType="begin"/>
                              </w:r>
                              <w:r w:rsidRPr="00CD56D3">
                                <w:rPr>
                                  <w:rFonts w:ascii="BentonSans Book" w:hAnsi="BentonSans Book"/>
                                  <w:sz w:val="26"/>
                                </w:rPr>
                                <w:instrText xml:space="preserve"> PAGE   \* MERGEFORMAT </w:instrText>
                              </w:r>
                              <w:r w:rsidRPr="00CD56D3">
                                <w:rPr>
                                  <w:rFonts w:ascii="BentonSans Book" w:hAnsi="BentonSans Book"/>
                                  <w:sz w:val="26"/>
                                </w:rPr>
                                <w:fldChar w:fldCharType="separate"/>
                              </w:r>
                              <w:r w:rsidR="00960D3E">
                                <w:rPr>
                                  <w:rFonts w:ascii="BentonSans Book" w:hAnsi="BentonSans Book"/>
                                  <w:noProof/>
                                  <w:sz w:val="26"/>
                                </w:rPr>
                                <w:t>-</w:t>
                              </w:r>
                              <w:r w:rsidR="00960D3E" w:rsidRPr="00960D3E">
                                <w:rPr>
                                  <w:rFonts w:ascii="BentonSans Book" w:hAnsi="BentonSans Book"/>
                                  <w:noProof/>
                                  <w:sz w:val="24"/>
                                </w:rPr>
                                <w:t xml:space="preserve"> 8 -</w:t>
                              </w:r>
                              <w:r w:rsidRPr="00CD56D3">
                                <w:rPr>
                                  <w:rFonts w:ascii="BentonSans Book" w:hAnsi="BentonSans Book"/>
                                  <w:sz w:val="26"/>
                                </w:rPr>
                                <w:fldChar w:fldCharType="end"/>
                              </w:r>
                            </w:p>
                            <w:p w14:paraId="64F67CB7" w14:textId="77777777" w:rsidR="00C11618" w:rsidRPr="004A7AB3" w:rsidRDefault="00C11618" w:rsidP="00E80E4C">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7A97D4" id="_x0000_t202" coordsize="21600,21600" o:spt="202" path="m,l,21600r21600,l21600,xe">
                  <v:stroke joinstyle="miter"/>
                  <v:path gradientshapeok="t" o:connecttype="rect"/>
                </v:shapetype>
                <v:shape id="Text Box 110" o:spid="_x0000_s1031" type="#_x0000_t202" style="position:absolute;left:0;text-align:left;margin-left:-12.95pt;margin-top:17.8pt;width:38.25pt;height:22.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" fillcolor="#deeaf6 [664]" strokecolor="#44546a [3215]" strokeweight=".5pt">
                  <v:textbox>
                    <w:txbxContent>
                      <w:p w14:paraId="5AAE1F60" w14:textId="2D91C4D0" w:rsidR="00C11618" w:rsidRPr="00CD56D3" w:rsidRDefault="00C11618" w:rsidP="002A7796">
                        <w:pPr>
                          <w:pStyle w:val="Footer"/>
                          <w:shd w:val="clear" w:color="auto" w:fill="FFC000" w:themeFill="accent4"/>
                          <w:jc w:val="center"/>
                          <w:rPr>
                            <w:rFonts w:ascii="BentonSans Book" w:hAnsi="BentonSans Book"/>
                            <w:sz w:val="26"/>
                          </w:rPr>
                        </w:pPr>
                        <w:r w:rsidRPr="00CD56D3">
                          <w:rPr>
                            <w:rFonts w:ascii="BentonSans Book" w:hAnsi="BentonSans Book"/>
                            <w:sz w:val="26"/>
                          </w:rPr>
                          <w:fldChar w:fldCharType="begin"/>
                        </w:r>
                        <w:r w:rsidRPr="00CD56D3">
                          <w:rPr>
                            <w:rFonts w:ascii="BentonSans Book" w:hAnsi="BentonSans Book"/>
                            <w:sz w:val="26"/>
                          </w:rPr>
                          <w:instrText xml:space="preserve"> PAGE   \* MERGEFORMAT </w:instrText>
                        </w:r>
                        <w:r w:rsidRPr="00CD56D3">
                          <w:rPr>
                            <w:rFonts w:ascii="BentonSans Book" w:hAnsi="BentonSans Book"/>
                            <w:sz w:val="26"/>
                          </w:rPr>
                          <w:fldChar w:fldCharType="separate"/>
                        </w:r>
                        <w:r w:rsidR="00960D3E">
                          <w:rPr>
                            <w:rFonts w:ascii="BentonSans Book" w:hAnsi="BentonSans Book"/>
                            <w:noProof/>
                            <w:sz w:val="26"/>
                          </w:rPr>
                          <w:t>-</w:t>
                        </w:r>
                        <w:r w:rsidR="00960D3E" w:rsidRPr="00960D3E">
                          <w:rPr>
                            <w:rFonts w:ascii="BentonSans Book" w:hAnsi="BentonSans Book"/>
                            <w:noProof/>
                            <w:sz w:val="24"/>
                          </w:rPr>
                          <w:t xml:space="preserve"> 8 -</w:t>
                        </w:r>
                        <w:r w:rsidRPr="00CD56D3">
                          <w:rPr>
                            <w:rFonts w:ascii="BentonSans Book" w:hAnsi="BentonSans Book"/>
                            <w:sz w:val="26"/>
                          </w:rPr>
                          <w:fldChar w:fldCharType="end"/>
                        </w:r>
                      </w:p>
                      <w:p w14:paraId="64F67CB7" w14:textId="77777777" w:rsidR="00C11618" w:rsidRPr="004A7AB3" w:rsidRDefault="00C11618" w:rsidP="00E80E4C">
                        <w:pPr>
                          <w:rPr>
                            <w:sz w:val="20"/>
                            <w:szCs w:val="20"/>
                          </w:rPr>
                        </w:pPr>
                      </w:p>
                    </w:txbxContent>
                  </v:textbox>
                  <w10:wrap anchorx="margin"/>
                </v:shape>
              </w:pict>
            </mc:Fallback>
          </mc:AlternateContent>
        </w:r>
      </w:p>
      <w:tbl>
        <w:tblPr>
          <w:tblW w:w="8926" w:type="dxa"/>
          <w:tblInd w:w="-196" w:type="dxa"/>
          <w:tblBorders>
            <w:top w:val="double" w:sz="4" w:space="0" w:color="auto"/>
            <w:insideH w:val="single" w:sz="12" w:space="0" w:color="9BBB59"/>
            <w:insideV w:val="single" w:sz="2" w:space="0" w:color="9BBB59"/>
          </w:tblBorders>
          <w:shd w:val="clear" w:color="auto" w:fill="EAF1DD"/>
          <w:tblLook w:val="04A0" w:firstRow="1" w:lastRow="0" w:firstColumn="1" w:lastColumn="0" w:noHBand="0" w:noVBand="1"/>
        </w:tblPr>
        <w:tblGrid>
          <w:gridCol w:w="3346"/>
          <w:gridCol w:w="3330"/>
          <w:gridCol w:w="2250"/>
        </w:tblGrid>
        <w:tr w:rsidR="00C11618" w:rsidRPr="00CD56D3" w14:paraId="569927F3" w14:textId="77777777" w:rsidTr="009E36BF">
          <w:trPr>
            <w:trHeight w:val="600"/>
          </w:trPr>
          <w:tc>
            <w:tcPr>
              <w:tcW w:w="3346" w:type="dxa"/>
              <w:shd w:val="clear" w:color="auto" w:fill="DEEAF6" w:themeFill="accent5" w:themeFillTint="33"/>
              <w:vAlign w:val="center"/>
            </w:tcPr>
            <w:p w14:paraId="7F7C0F81" w14:textId="77777777" w:rsidR="00C11618" w:rsidRPr="00AF0B8C" w:rsidRDefault="00C11618" w:rsidP="00E80E4C">
              <w:pPr>
                <w:pStyle w:val="Footer"/>
                <w:tabs>
                  <w:tab w:val="left" w:pos="6336"/>
                </w:tabs>
                <w:jc w:val="center"/>
                <w:rPr>
                  <w:rFonts w:ascii="BentonSans Book" w:hAnsi="BentonSans Book"/>
                  <w:b/>
                  <w:sz w:val="18"/>
                </w:rPr>
              </w:pPr>
              <w:r w:rsidRPr="00AF0B8C">
                <w:rPr>
                  <w:rFonts w:ascii="BentonSans Book" w:hAnsi="BentonSans Book"/>
                  <w:b/>
                  <w:sz w:val="18"/>
                </w:rPr>
                <w:t>NATIONAL BANK OF RWANDA</w:t>
              </w:r>
            </w:p>
          </w:tc>
          <w:tc>
            <w:tcPr>
              <w:tcW w:w="3330" w:type="dxa"/>
              <w:shd w:val="clear" w:color="auto" w:fill="DEEAF6" w:themeFill="accent5" w:themeFillTint="33"/>
              <w:vAlign w:val="center"/>
            </w:tcPr>
            <w:p w14:paraId="556BD0FB" w14:textId="77777777" w:rsidR="00C11618" w:rsidRPr="00AF0B8C" w:rsidRDefault="00384385" w:rsidP="00E80E4C">
              <w:pPr>
                <w:pStyle w:val="Footer"/>
                <w:tabs>
                  <w:tab w:val="left" w:pos="6336"/>
                </w:tabs>
                <w:jc w:val="center"/>
                <w:rPr>
                  <w:rFonts w:ascii="BentonSans Book" w:hAnsi="BentonSans Book"/>
                  <w:b/>
                  <w:sz w:val="18"/>
                </w:rPr>
              </w:pPr>
              <w:r w:rsidRPr="00AF0B8C">
                <w:rPr>
                  <w:rFonts w:ascii="BentonSans Book" w:hAnsi="BentonSans Book"/>
                  <w:b/>
                  <w:sz w:val="18"/>
                </w:rPr>
                <w:t>CREDIT SURVEY REPORT</w:t>
              </w:r>
            </w:p>
          </w:tc>
          <w:tc>
            <w:tcPr>
              <w:tcW w:w="2250" w:type="dxa"/>
              <w:shd w:val="clear" w:color="auto" w:fill="DEEAF6" w:themeFill="accent5" w:themeFillTint="33"/>
              <w:vAlign w:val="center"/>
            </w:tcPr>
            <w:p w14:paraId="243D169C" w14:textId="77777777" w:rsidR="00C11618" w:rsidRPr="00AF0B8C" w:rsidRDefault="00CD56D3" w:rsidP="00F66B92">
              <w:pPr>
                <w:pStyle w:val="Footer"/>
                <w:tabs>
                  <w:tab w:val="left" w:pos="6336"/>
                </w:tabs>
                <w:jc w:val="center"/>
                <w:rPr>
                  <w:rFonts w:ascii="BentonSans Book" w:hAnsi="BentonSans Book"/>
                  <w:b/>
                  <w:sz w:val="18"/>
                </w:rPr>
              </w:pPr>
              <w:r w:rsidRPr="00AF0B8C">
                <w:rPr>
                  <w:rFonts w:ascii="BentonSans Book" w:hAnsi="BentonSans Book"/>
                  <w:b/>
                  <w:sz w:val="18"/>
                </w:rPr>
                <w:t xml:space="preserve">DECEMBER </w:t>
              </w:r>
              <w:r w:rsidR="00384385" w:rsidRPr="00AF0B8C">
                <w:rPr>
                  <w:rFonts w:ascii="BentonSans Book" w:hAnsi="BentonSans Book"/>
                  <w:b/>
                  <w:sz w:val="18"/>
                </w:rPr>
                <w:t xml:space="preserve"> </w:t>
              </w:r>
              <w:r w:rsidR="00C11618" w:rsidRPr="00AF0B8C">
                <w:rPr>
                  <w:rFonts w:ascii="BentonSans Book" w:hAnsi="BentonSans Book"/>
                  <w:b/>
                  <w:sz w:val="18"/>
                </w:rPr>
                <w:t xml:space="preserve"> 2018</w:t>
              </w:r>
            </w:p>
          </w:tc>
        </w:tr>
      </w:tbl>
      <w:p w14:paraId="4C9E87D8" w14:textId="77777777" w:rsidR="00C11618" w:rsidRDefault="007151C5">
        <w:pPr>
          <w:pStyle w:val="Footer"/>
          <w:jc w:val="right"/>
        </w:pPr>
      </w:p>
    </w:sdtContent>
  </w:sdt>
  <w:p w14:paraId="78CE38E4" w14:textId="77777777" w:rsidR="00C11618" w:rsidRDefault="00C11618" w:rsidP="000E1A39">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4DD2FF" w14:textId="77777777" w:rsidR="007151C5" w:rsidRDefault="007151C5" w:rsidP="002D5ADD">
      <w:pPr>
        <w:spacing w:after="0" w:line="240" w:lineRule="auto"/>
      </w:pPr>
      <w:r>
        <w:separator/>
      </w:r>
    </w:p>
  </w:footnote>
  <w:footnote w:type="continuationSeparator" w:id="0">
    <w:p w14:paraId="0AEAFA9C" w14:textId="77777777" w:rsidR="007151C5" w:rsidRDefault="007151C5" w:rsidP="002D5ADD">
      <w:pPr>
        <w:spacing w:after="0" w:line="240" w:lineRule="auto"/>
      </w:pPr>
      <w:r>
        <w:continuationSeparator/>
      </w:r>
    </w:p>
  </w:footnote>
  <w:footnote w:id="1">
    <w:p w14:paraId="3036455A" w14:textId="77777777" w:rsidR="00E75BAA" w:rsidRPr="00876F52" w:rsidRDefault="00E75BAA" w:rsidP="00D97DA9">
      <w:pPr>
        <w:jc w:val="both"/>
        <w:rPr>
          <w:rFonts w:ascii="BentonSans Book" w:eastAsia="Times New Roman" w:hAnsi="BentonSans Book" w:cs="Times New Roman"/>
          <w:sz w:val="20"/>
        </w:rPr>
      </w:pPr>
      <w:r>
        <w:rPr>
          <w:rStyle w:val="FootnoteReference"/>
        </w:rPr>
        <w:footnoteRef/>
      </w:r>
      <w:r>
        <w:t xml:space="preserve"> </w:t>
      </w:r>
      <w:r w:rsidRPr="00876F52">
        <w:rPr>
          <w:rFonts w:ascii="BentonSans Book" w:eastAsia="Times New Roman" w:hAnsi="BentonSans Book" w:cs="Times New Roman"/>
          <w:sz w:val="20"/>
        </w:rPr>
        <w:t xml:space="preserve">Demand for credit refers to the demand for new loans by borrowers as indicated by the volume and value of applications received. </w:t>
      </w:r>
    </w:p>
  </w:footnote>
  <w:footnote w:id="2">
    <w:p w14:paraId="2D0F4CDD" w14:textId="77777777" w:rsidR="00D97DA9" w:rsidRPr="00876F52" w:rsidRDefault="00196E4A" w:rsidP="00D97DA9">
      <w:pPr>
        <w:pStyle w:val="NormalWeb"/>
        <w:spacing w:before="120" w:after="120" w:line="360" w:lineRule="auto"/>
        <w:jc w:val="both"/>
        <w:rPr>
          <w:rFonts w:ascii="BentonSans Book" w:hAnsi="BentonSans Book"/>
          <w:sz w:val="20"/>
          <w:szCs w:val="22"/>
        </w:rPr>
      </w:pPr>
      <w:r w:rsidRPr="00876F52">
        <w:rPr>
          <w:rFonts w:ascii="BentonSans Book" w:hAnsi="BentonSans Book"/>
          <w:sz w:val="20"/>
          <w:szCs w:val="22"/>
        </w:rPr>
        <w:footnoteRef/>
      </w:r>
      <w:r w:rsidR="00D97DA9" w:rsidRPr="00876F52">
        <w:rPr>
          <w:rFonts w:ascii="BentonSans Book" w:hAnsi="BentonSans Book"/>
          <w:sz w:val="20"/>
          <w:szCs w:val="22"/>
        </w:rPr>
        <w:t>Digital banking means that people can now borrow, save or pay with their mobile phones.</w:t>
      </w:r>
    </w:p>
    <w:p w14:paraId="3F04727B" w14:textId="77777777" w:rsidR="00196E4A" w:rsidRPr="00594139" w:rsidRDefault="00196E4A">
      <w:pPr>
        <w:pStyle w:val="FootnoteText"/>
        <w:rPr>
          <w:rFonts w:ascii="BentonSans Book" w:eastAsia="Times New Roman" w:hAnsi="BentonSans Book" w:cs="Times New Roman"/>
          <w:sz w:val="22"/>
          <w:szCs w:val="22"/>
        </w:rPr>
      </w:pPr>
    </w:p>
  </w:footnote>
  <w:footnote w:id="3">
    <w:p w14:paraId="28A8BB5E" w14:textId="77777777" w:rsidR="000E5BAD" w:rsidRPr="00156F88" w:rsidRDefault="000E5BAD">
      <w:pPr>
        <w:pStyle w:val="FootnoteText"/>
        <w:rPr>
          <w:rFonts w:ascii="BentonSans Book" w:eastAsia="Times New Roman" w:hAnsi="BentonSans Book" w:cs="Times New Roman"/>
          <w:szCs w:val="22"/>
        </w:rPr>
      </w:pPr>
      <w:r>
        <w:rPr>
          <w:rStyle w:val="FootnoteReference"/>
        </w:rPr>
        <w:footnoteRef/>
      </w:r>
      <w:r>
        <w:t xml:space="preserve"> </w:t>
      </w:r>
      <w:r w:rsidRPr="00156F88">
        <w:rPr>
          <w:rFonts w:ascii="BentonSans Book" w:eastAsia="Times New Roman" w:hAnsi="BentonSans Book" w:cs="Times New Roman"/>
          <w:szCs w:val="22"/>
        </w:rPr>
        <w:t>This includes health, education and professional activities.</w:t>
      </w:r>
    </w:p>
  </w:footnote>
  <w:footnote w:id="4">
    <w:p w14:paraId="6C28C117" w14:textId="77777777" w:rsidR="00E41DCA" w:rsidRPr="00E41DCA" w:rsidRDefault="000737FB" w:rsidP="00E41DCA">
      <w:pPr>
        <w:pStyle w:val="FootnoteText"/>
        <w:jc w:val="both"/>
        <w:rPr>
          <w:rFonts w:ascii="BentonSans Book" w:eastAsia="Times New Roman" w:hAnsi="BentonSans Book" w:cs="Times New Roman"/>
          <w:szCs w:val="22"/>
        </w:rPr>
      </w:pPr>
      <w:r>
        <w:rPr>
          <w:rStyle w:val="FootnoteReference"/>
        </w:rPr>
        <w:footnoteRef/>
      </w:r>
      <w:r>
        <w:t xml:space="preserve"> </w:t>
      </w:r>
      <w:r w:rsidR="00E41DCA" w:rsidRPr="00E41DCA">
        <w:rPr>
          <w:rFonts w:ascii="BentonSans Book" w:eastAsia="Times New Roman" w:hAnsi="BentonSans Book" w:cs="Times New Roman"/>
          <w:sz w:val="22"/>
          <w:szCs w:val="22"/>
        </w:rPr>
        <w:t xml:space="preserve"> </w:t>
      </w:r>
      <w:r w:rsidR="00E41DCA" w:rsidRPr="00E41DCA">
        <w:rPr>
          <w:rFonts w:ascii="BentonSans Book" w:eastAsia="Times New Roman" w:hAnsi="BentonSans Book" w:cs="Times New Roman"/>
          <w:szCs w:val="22"/>
        </w:rPr>
        <w:t>The loan rejection rate is the ratio of the value or number of rejected loan applications by all banks to the number of loan applications received by the banks during the same period.</w:t>
      </w:r>
    </w:p>
    <w:p w14:paraId="7284752E" w14:textId="77777777" w:rsidR="00E41DCA" w:rsidRPr="00E41DCA" w:rsidRDefault="00E41DCA" w:rsidP="00E41DCA">
      <w:pPr>
        <w:pStyle w:val="FootnoteText"/>
      </w:pPr>
    </w:p>
    <w:p w14:paraId="5E906038" w14:textId="77777777" w:rsidR="000737FB" w:rsidRDefault="000737FB">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105CA9"/>
    <w:multiLevelType w:val="hybridMultilevel"/>
    <w:tmpl w:val="BEA410AA"/>
    <w:lvl w:ilvl="0" w:tplc="CFAA251A">
      <w:start w:val="1"/>
      <w:numFmt w:val="decimal"/>
      <w:pStyle w:val="FSAparagraph"/>
      <w:lvlText w:val="%1.     "/>
      <w:lvlJc w:val="left"/>
      <w:pPr>
        <w:tabs>
          <w:tab w:val="num" w:pos="720"/>
        </w:tabs>
        <w:ind w:left="0" w:firstLine="0"/>
      </w:pPr>
      <w:rPr>
        <w:rFonts w:hint="default"/>
        <w:b w:val="0"/>
        <w:color w:val="auto"/>
        <w:sz w:val="24"/>
        <w:szCs w:val="24"/>
      </w:rPr>
    </w:lvl>
    <w:lvl w:ilvl="1" w:tplc="04090019">
      <w:start w:val="1"/>
      <w:numFmt w:val="lowerLetter"/>
      <w:lvlText w:val="%2."/>
      <w:lvlJc w:val="left"/>
      <w:pPr>
        <w:tabs>
          <w:tab w:val="num" w:pos="4500"/>
        </w:tabs>
        <w:ind w:left="450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56869DF"/>
    <w:multiLevelType w:val="hybridMultilevel"/>
    <w:tmpl w:val="1A48BFA6"/>
    <w:lvl w:ilvl="0" w:tplc="DEA02CA0">
      <w:start w:val="1"/>
      <w:numFmt w:val="upperRoman"/>
      <w:pStyle w:val="FSAheading1"/>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A86F20"/>
    <w:multiLevelType w:val="hybridMultilevel"/>
    <w:tmpl w:val="D8CEEBE0"/>
    <w:lvl w:ilvl="0" w:tplc="9B241F64">
      <w:start w:val="1"/>
      <w:numFmt w:val="bullet"/>
      <w:lvlText w:val="o"/>
      <w:lvlJc w:val="left"/>
      <w:pPr>
        <w:ind w:left="720" w:hanging="360"/>
      </w:pPr>
      <w:rPr>
        <w:rFonts w:ascii="Courier New" w:hAnsi="Courier New" w:cs="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972770"/>
    <w:multiLevelType w:val="hybridMultilevel"/>
    <w:tmpl w:val="360CFABC"/>
    <w:lvl w:ilvl="0" w:tplc="6366D6B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BAE7A2E"/>
    <w:multiLevelType w:val="hybridMultilevel"/>
    <w:tmpl w:val="6DB06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2F1390"/>
    <w:multiLevelType w:val="hybridMultilevel"/>
    <w:tmpl w:val="45CC1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815F38"/>
    <w:multiLevelType w:val="multilevel"/>
    <w:tmpl w:val="80582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FCB0FB0"/>
    <w:multiLevelType w:val="multilevel"/>
    <w:tmpl w:val="32ECEBB6"/>
    <w:lvl w:ilvl="0">
      <w:start w:val="1"/>
      <w:numFmt w:val="upperRoman"/>
      <w:lvlText w:val="%1."/>
      <w:lvlJc w:val="left"/>
      <w:pPr>
        <w:ind w:left="1080" w:hanging="720"/>
      </w:pPr>
      <w:rPr>
        <w:rFonts w:hint="default"/>
        <w:color w:val="4472C4" w:themeColor="accent1"/>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40A54671"/>
    <w:multiLevelType w:val="hybridMultilevel"/>
    <w:tmpl w:val="2C38EDBE"/>
    <w:lvl w:ilvl="0" w:tplc="35AC80DA">
      <w:start w:val="1"/>
      <w:numFmt w:val="bullet"/>
      <w:lvlText w:val="•"/>
      <w:lvlJc w:val="left"/>
      <w:pPr>
        <w:tabs>
          <w:tab w:val="num" w:pos="720"/>
        </w:tabs>
        <w:ind w:left="720" w:hanging="360"/>
      </w:pPr>
      <w:rPr>
        <w:rFonts w:ascii="Arial" w:hAnsi="Arial" w:hint="default"/>
      </w:rPr>
    </w:lvl>
    <w:lvl w:ilvl="1" w:tplc="A01E1882" w:tentative="1">
      <w:start w:val="1"/>
      <w:numFmt w:val="bullet"/>
      <w:lvlText w:val="•"/>
      <w:lvlJc w:val="left"/>
      <w:pPr>
        <w:tabs>
          <w:tab w:val="num" w:pos="1440"/>
        </w:tabs>
        <w:ind w:left="1440" w:hanging="360"/>
      </w:pPr>
      <w:rPr>
        <w:rFonts w:ascii="Arial" w:hAnsi="Arial" w:hint="default"/>
      </w:rPr>
    </w:lvl>
    <w:lvl w:ilvl="2" w:tplc="8EFCC498" w:tentative="1">
      <w:start w:val="1"/>
      <w:numFmt w:val="bullet"/>
      <w:lvlText w:val="•"/>
      <w:lvlJc w:val="left"/>
      <w:pPr>
        <w:tabs>
          <w:tab w:val="num" w:pos="2160"/>
        </w:tabs>
        <w:ind w:left="2160" w:hanging="360"/>
      </w:pPr>
      <w:rPr>
        <w:rFonts w:ascii="Arial" w:hAnsi="Arial" w:hint="default"/>
      </w:rPr>
    </w:lvl>
    <w:lvl w:ilvl="3" w:tplc="7DFCA166" w:tentative="1">
      <w:start w:val="1"/>
      <w:numFmt w:val="bullet"/>
      <w:lvlText w:val="•"/>
      <w:lvlJc w:val="left"/>
      <w:pPr>
        <w:tabs>
          <w:tab w:val="num" w:pos="2880"/>
        </w:tabs>
        <w:ind w:left="2880" w:hanging="360"/>
      </w:pPr>
      <w:rPr>
        <w:rFonts w:ascii="Arial" w:hAnsi="Arial" w:hint="default"/>
      </w:rPr>
    </w:lvl>
    <w:lvl w:ilvl="4" w:tplc="2CCE6354" w:tentative="1">
      <w:start w:val="1"/>
      <w:numFmt w:val="bullet"/>
      <w:lvlText w:val="•"/>
      <w:lvlJc w:val="left"/>
      <w:pPr>
        <w:tabs>
          <w:tab w:val="num" w:pos="3600"/>
        </w:tabs>
        <w:ind w:left="3600" w:hanging="360"/>
      </w:pPr>
      <w:rPr>
        <w:rFonts w:ascii="Arial" w:hAnsi="Arial" w:hint="default"/>
      </w:rPr>
    </w:lvl>
    <w:lvl w:ilvl="5" w:tplc="2C120498" w:tentative="1">
      <w:start w:val="1"/>
      <w:numFmt w:val="bullet"/>
      <w:lvlText w:val="•"/>
      <w:lvlJc w:val="left"/>
      <w:pPr>
        <w:tabs>
          <w:tab w:val="num" w:pos="4320"/>
        </w:tabs>
        <w:ind w:left="4320" w:hanging="360"/>
      </w:pPr>
      <w:rPr>
        <w:rFonts w:ascii="Arial" w:hAnsi="Arial" w:hint="default"/>
      </w:rPr>
    </w:lvl>
    <w:lvl w:ilvl="6" w:tplc="94BC5F92" w:tentative="1">
      <w:start w:val="1"/>
      <w:numFmt w:val="bullet"/>
      <w:lvlText w:val="•"/>
      <w:lvlJc w:val="left"/>
      <w:pPr>
        <w:tabs>
          <w:tab w:val="num" w:pos="5040"/>
        </w:tabs>
        <w:ind w:left="5040" w:hanging="360"/>
      </w:pPr>
      <w:rPr>
        <w:rFonts w:ascii="Arial" w:hAnsi="Arial" w:hint="default"/>
      </w:rPr>
    </w:lvl>
    <w:lvl w:ilvl="7" w:tplc="FB2C7E70" w:tentative="1">
      <w:start w:val="1"/>
      <w:numFmt w:val="bullet"/>
      <w:lvlText w:val="•"/>
      <w:lvlJc w:val="left"/>
      <w:pPr>
        <w:tabs>
          <w:tab w:val="num" w:pos="5760"/>
        </w:tabs>
        <w:ind w:left="5760" w:hanging="360"/>
      </w:pPr>
      <w:rPr>
        <w:rFonts w:ascii="Arial" w:hAnsi="Arial" w:hint="default"/>
      </w:rPr>
    </w:lvl>
    <w:lvl w:ilvl="8" w:tplc="188033A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0B27B88"/>
    <w:multiLevelType w:val="hybridMultilevel"/>
    <w:tmpl w:val="365CEF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5542D1A"/>
    <w:multiLevelType w:val="multilevel"/>
    <w:tmpl w:val="F5DC99E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5CF14F38"/>
    <w:multiLevelType w:val="hybridMultilevel"/>
    <w:tmpl w:val="95C2AECC"/>
    <w:lvl w:ilvl="0" w:tplc="55D2E1BC">
      <w:start w:val="1"/>
      <w:numFmt w:val="decimal"/>
      <w:lvlText w:val="%1."/>
      <w:lvlJc w:val="left"/>
      <w:pPr>
        <w:tabs>
          <w:tab w:val="num" w:pos="720"/>
        </w:tabs>
        <w:ind w:left="720" w:hanging="360"/>
      </w:pPr>
    </w:lvl>
    <w:lvl w:ilvl="1" w:tplc="AB52E9A6" w:tentative="1">
      <w:start w:val="1"/>
      <w:numFmt w:val="decimal"/>
      <w:lvlText w:val="%2."/>
      <w:lvlJc w:val="left"/>
      <w:pPr>
        <w:tabs>
          <w:tab w:val="num" w:pos="1440"/>
        </w:tabs>
        <w:ind w:left="1440" w:hanging="360"/>
      </w:pPr>
    </w:lvl>
    <w:lvl w:ilvl="2" w:tplc="2CFC4306" w:tentative="1">
      <w:start w:val="1"/>
      <w:numFmt w:val="decimal"/>
      <w:lvlText w:val="%3."/>
      <w:lvlJc w:val="left"/>
      <w:pPr>
        <w:tabs>
          <w:tab w:val="num" w:pos="2160"/>
        </w:tabs>
        <w:ind w:left="2160" w:hanging="360"/>
      </w:pPr>
    </w:lvl>
    <w:lvl w:ilvl="3" w:tplc="BE4CF948" w:tentative="1">
      <w:start w:val="1"/>
      <w:numFmt w:val="decimal"/>
      <w:lvlText w:val="%4."/>
      <w:lvlJc w:val="left"/>
      <w:pPr>
        <w:tabs>
          <w:tab w:val="num" w:pos="2880"/>
        </w:tabs>
        <w:ind w:left="2880" w:hanging="360"/>
      </w:pPr>
    </w:lvl>
    <w:lvl w:ilvl="4" w:tplc="F8E294F4" w:tentative="1">
      <w:start w:val="1"/>
      <w:numFmt w:val="decimal"/>
      <w:lvlText w:val="%5."/>
      <w:lvlJc w:val="left"/>
      <w:pPr>
        <w:tabs>
          <w:tab w:val="num" w:pos="3600"/>
        </w:tabs>
        <w:ind w:left="3600" w:hanging="360"/>
      </w:pPr>
    </w:lvl>
    <w:lvl w:ilvl="5" w:tplc="0298F286" w:tentative="1">
      <w:start w:val="1"/>
      <w:numFmt w:val="decimal"/>
      <w:lvlText w:val="%6."/>
      <w:lvlJc w:val="left"/>
      <w:pPr>
        <w:tabs>
          <w:tab w:val="num" w:pos="4320"/>
        </w:tabs>
        <w:ind w:left="4320" w:hanging="360"/>
      </w:pPr>
    </w:lvl>
    <w:lvl w:ilvl="6" w:tplc="97808688" w:tentative="1">
      <w:start w:val="1"/>
      <w:numFmt w:val="decimal"/>
      <w:lvlText w:val="%7."/>
      <w:lvlJc w:val="left"/>
      <w:pPr>
        <w:tabs>
          <w:tab w:val="num" w:pos="5040"/>
        </w:tabs>
        <w:ind w:left="5040" w:hanging="360"/>
      </w:pPr>
    </w:lvl>
    <w:lvl w:ilvl="7" w:tplc="76481448" w:tentative="1">
      <w:start w:val="1"/>
      <w:numFmt w:val="decimal"/>
      <w:lvlText w:val="%8."/>
      <w:lvlJc w:val="left"/>
      <w:pPr>
        <w:tabs>
          <w:tab w:val="num" w:pos="5760"/>
        </w:tabs>
        <w:ind w:left="5760" w:hanging="360"/>
      </w:pPr>
    </w:lvl>
    <w:lvl w:ilvl="8" w:tplc="4E86BD7E" w:tentative="1">
      <w:start w:val="1"/>
      <w:numFmt w:val="decimal"/>
      <w:lvlText w:val="%9."/>
      <w:lvlJc w:val="left"/>
      <w:pPr>
        <w:tabs>
          <w:tab w:val="num" w:pos="6480"/>
        </w:tabs>
        <w:ind w:left="6480" w:hanging="360"/>
      </w:pPr>
    </w:lvl>
  </w:abstractNum>
  <w:abstractNum w:abstractNumId="12" w15:restartNumberingAfterBreak="0">
    <w:nsid w:val="6286729B"/>
    <w:multiLevelType w:val="hybridMultilevel"/>
    <w:tmpl w:val="DB2821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1DC65A3"/>
    <w:multiLevelType w:val="hybridMultilevel"/>
    <w:tmpl w:val="6B1EFA46"/>
    <w:lvl w:ilvl="0" w:tplc="6F0C7AF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2F01EE5"/>
    <w:multiLevelType w:val="hybridMultilevel"/>
    <w:tmpl w:val="53F2E1A6"/>
    <w:lvl w:ilvl="0" w:tplc="A5CCF2E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8"/>
  </w:num>
  <w:num w:numId="3">
    <w:abstractNumId w:val="2"/>
  </w:num>
  <w:num w:numId="4">
    <w:abstractNumId w:val="7"/>
  </w:num>
  <w:num w:numId="5">
    <w:abstractNumId w:val="4"/>
  </w:num>
  <w:num w:numId="6">
    <w:abstractNumId w:val="12"/>
  </w:num>
  <w:num w:numId="7">
    <w:abstractNumId w:val="5"/>
  </w:num>
  <w:num w:numId="8">
    <w:abstractNumId w:val="3"/>
  </w:num>
  <w:num w:numId="9">
    <w:abstractNumId w:val="1"/>
  </w:num>
  <w:num w:numId="10">
    <w:abstractNumId w:val="10"/>
  </w:num>
  <w:num w:numId="11">
    <w:abstractNumId w:val="9"/>
  </w:num>
  <w:num w:numId="12">
    <w:abstractNumId w:val="0"/>
  </w:num>
  <w:num w:numId="13">
    <w:abstractNumId w:val="13"/>
  </w:num>
  <w:num w:numId="14">
    <w:abstractNumId w:val="14"/>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5ADD"/>
    <w:rsid w:val="00001384"/>
    <w:rsid w:val="000020E9"/>
    <w:rsid w:val="00002747"/>
    <w:rsid w:val="00004E82"/>
    <w:rsid w:val="00005690"/>
    <w:rsid w:val="000070CF"/>
    <w:rsid w:val="00010BBB"/>
    <w:rsid w:val="00011682"/>
    <w:rsid w:val="0001183B"/>
    <w:rsid w:val="00012BFA"/>
    <w:rsid w:val="00012CE2"/>
    <w:rsid w:val="00014AAB"/>
    <w:rsid w:val="00015346"/>
    <w:rsid w:val="000155FD"/>
    <w:rsid w:val="000161AE"/>
    <w:rsid w:val="0001685E"/>
    <w:rsid w:val="00021DB1"/>
    <w:rsid w:val="00024076"/>
    <w:rsid w:val="00026576"/>
    <w:rsid w:val="00026F42"/>
    <w:rsid w:val="00030156"/>
    <w:rsid w:val="00031DC1"/>
    <w:rsid w:val="000331CD"/>
    <w:rsid w:val="00035891"/>
    <w:rsid w:val="00036FA9"/>
    <w:rsid w:val="00041342"/>
    <w:rsid w:val="00043DA6"/>
    <w:rsid w:val="000442A7"/>
    <w:rsid w:val="00051965"/>
    <w:rsid w:val="00052464"/>
    <w:rsid w:val="00052C42"/>
    <w:rsid w:val="00053800"/>
    <w:rsid w:val="00056158"/>
    <w:rsid w:val="0006021C"/>
    <w:rsid w:val="00060BE2"/>
    <w:rsid w:val="00064D1B"/>
    <w:rsid w:val="000650A2"/>
    <w:rsid w:val="000665D5"/>
    <w:rsid w:val="00066865"/>
    <w:rsid w:val="00070A3E"/>
    <w:rsid w:val="00070EB5"/>
    <w:rsid w:val="0007212C"/>
    <w:rsid w:val="000737FB"/>
    <w:rsid w:val="00074A19"/>
    <w:rsid w:val="000752B8"/>
    <w:rsid w:val="000808EA"/>
    <w:rsid w:val="00082451"/>
    <w:rsid w:val="00083590"/>
    <w:rsid w:val="00085DC0"/>
    <w:rsid w:val="00086A13"/>
    <w:rsid w:val="000955A0"/>
    <w:rsid w:val="00097675"/>
    <w:rsid w:val="00097D6E"/>
    <w:rsid w:val="000A41E9"/>
    <w:rsid w:val="000A4253"/>
    <w:rsid w:val="000B0AC1"/>
    <w:rsid w:val="000B2B7B"/>
    <w:rsid w:val="000B3195"/>
    <w:rsid w:val="000B33B1"/>
    <w:rsid w:val="000B40CB"/>
    <w:rsid w:val="000C017D"/>
    <w:rsid w:val="000C038A"/>
    <w:rsid w:val="000C51A6"/>
    <w:rsid w:val="000C6553"/>
    <w:rsid w:val="000C7754"/>
    <w:rsid w:val="000D2A89"/>
    <w:rsid w:val="000D34AD"/>
    <w:rsid w:val="000D3C93"/>
    <w:rsid w:val="000D56CA"/>
    <w:rsid w:val="000D7992"/>
    <w:rsid w:val="000E1657"/>
    <w:rsid w:val="000E1A39"/>
    <w:rsid w:val="000E263D"/>
    <w:rsid w:val="000E29FD"/>
    <w:rsid w:val="000E5297"/>
    <w:rsid w:val="000E5A08"/>
    <w:rsid w:val="000E5BAD"/>
    <w:rsid w:val="000E6E62"/>
    <w:rsid w:val="000F03AD"/>
    <w:rsid w:val="000F2D8C"/>
    <w:rsid w:val="000F49F0"/>
    <w:rsid w:val="000F4DC3"/>
    <w:rsid w:val="000F4F5C"/>
    <w:rsid w:val="000F5472"/>
    <w:rsid w:val="000F5B2F"/>
    <w:rsid w:val="000F6636"/>
    <w:rsid w:val="000F68A7"/>
    <w:rsid w:val="000F7BA4"/>
    <w:rsid w:val="00101361"/>
    <w:rsid w:val="00101A71"/>
    <w:rsid w:val="001023F8"/>
    <w:rsid w:val="0010289E"/>
    <w:rsid w:val="0010520C"/>
    <w:rsid w:val="001058F8"/>
    <w:rsid w:val="00105E6C"/>
    <w:rsid w:val="00106F91"/>
    <w:rsid w:val="00107327"/>
    <w:rsid w:val="00107AF8"/>
    <w:rsid w:val="001101A2"/>
    <w:rsid w:val="00111325"/>
    <w:rsid w:val="00112400"/>
    <w:rsid w:val="00114DC3"/>
    <w:rsid w:val="00115B52"/>
    <w:rsid w:val="00123AC7"/>
    <w:rsid w:val="00125DFB"/>
    <w:rsid w:val="001269BB"/>
    <w:rsid w:val="00126A14"/>
    <w:rsid w:val="001272D2"/>
    <w:rsid w:val="00131D91"/>
    <w:rsid w:val="001329B3"/>
    <w:rsid w:val="00134547"/>
    <w:rsid w:val="0014039C"/>
    <w:rsid w:val="00141D05"/>
    <w:rsid w:val="00145DCA"/>
    <w:rsid w:val="0015054C"/>
    <w:rsid w:val="00154901"/>
    <w:rsid w:val="00156F88"/>
    <w:rsid w:val="00164C37"/>
    <w:rsid w:val="00165153"/>
    <w:rsid w:val="0017075E"/>
    <w:rsid w:val="001717B6"/>
    <w:rsid w:val="001727D6"/>
    <w:rsid w:val="00175F21"/>
    <w:rsid w:val="00176AB7"/>
    <w:rsid w:val="00176F82"/>
    <w:rsid w:val="00177FCA"/>
    <w:rsid w:val="001806B4"/>
    <w:rsid w:val="00181160"/>
    <w:rsid w:val="00182442"/>
    <w:rsid w:val="00185259"/>
    <w:rsid w:val="00185353"/>
    <w:rsid w:val="00187195"/>
    <w:rsid w:val="0019147A"/>
    <w:rsid w:val="0019196E"/>
    <w:rsid w:val="00192827"/>
    <w:rsid w:val="00193390"/>
    <w:rsid w:val="001941D4"/>
    <w:rsid w:val="00196E4A"/>
    <w:rsid w:val="001A04E0"/>
    <w:rsid w:val="001A2A0F"/>
    <w:rsid w:val="001A3096"/>
    <w:rsid w:val="001A42B2"/>
    <w:rsid w:val="001A5287"/>
    <w:rsid w:val="001A5FA7"/>
    <w:rsid w:val="001A76D6"/>
    <w:rsid w:val="001B0BC7"/>
    <w:rsid w:val="001B1E59"/>
    <w:rsid w:val="001B21E5"/>
    <w:rsid w:val="001B4322"/>
    <w:rsid w:val="001B5123"/>
    <w:rsid w:val="001B63F3"/>
    <w:rsid w:val="001B7A1A"/>
    <w:rsid w:val="001C043E"/>
    <w:rsid w:val="001C0633"/>
    <w:rsid w:val="001C0F90"/>
    <w:rsid w:val="001C381E"/>
    <w:rsid w:val="001C4946"/>
    <w:rsid w:val="001C5193"/>
    <w:rsid w:val="001C54A4"/>
    <w:rsid w:val="001C7CF9"/>
    <w:rsid w:val="001D00E3"/>
    <w:rsid w:val="001D0D23"/>
    <w:rsid w:val="001D193A"/>
    <w:rsid w:val="001D1D23"/>
    <w:rsid w:val="001D3E98"/>
    <w:rsid w:val="001D582A"/>
    <w:rsid w:val="001D6ED2"/>
    <w:rsid w:val="001D79BC"/>
    <w:rsid w:val="001E0E8C"/>
    <w:rsid w:val="001E39FA"/>
    <w:rsid w:val="001E5BEC"/>
    <w:rsid w:val="001E600A"/>
    <w:rsid w:val="001E7F67"/>
    <w:rsid w:val="001F1D7E"/>
    <w:rsid w:val="001F7734"/>
    <w:rsid w:val="00200924"/>
    <w:rsid w:val="002010A0"/>
    <w:rsid w:val="002040A6"/>
    <w:rsid w:val="00204704"/>
    <w:rsid w:val="00210B39"/>
    <w:rsid w:val="002118D1"/>
    <w:rsid w:val="00211BF9"/>
    <w:rsid w:val="00214677"/>
    <w:rsid w:val="0021677F"/>
    <w:rsid w:val="00220674"/>
    <w:rsid w:val="002231EC"/>
    <w:rsid w:val="00223617"/>
    <w:rsid w:val="0022445D"/>
    <w:rsid w:val="00226709"/>
    <w:rsid w:val="00226ABF"/>
    <w:rsid w:val="00227D61"/>
    <w:rsid w:val="00230635"/>
    <w:rsid w:val="00230B49"/>
    <w:rsid w:val="0023142B"/>
    <w:rsid w:val="00236528"/>
    <w:rsid w:val="002405B7"/>
    <w:rsid w:val="002406B3"/>
    <w:rsid w:val="0024323A"/>
    <w:rsid w:val="00244BB1"/>
    <w:rsid w:val="00245698"/>
    <w:rsid w:val="0024608F"/>
    <w:rsid w:val="00246226"/>
    <w:rsid w:val="00247FB3"/>
    <w:rsid w:val="00250A86"/>
    <w:rsid w:val="0025154B"/>
    <w:rsid w:val="002517CB"/>
    <w:rsid w:val="00253744"/>
    <w:rsid w:val="00253E36"/>
    <w:rsid w:val="002541B5"/>
    <w:rsid w:val="00254CED"/>
    <w:rsid w:val="00256393"/>
    <w:rsid w:val="00260733"/>
    <w:rsid w:val="00263091"/>
    <w:rsid w:val="002646CF"/>
    <w:rsid w:val="00265AA7"/>
    <w:rsid w:val="0026692F"/>
    <w:rsid w:val="00266A16"/>
    <w:rsid w:val="00267289"/>
    <w:rsid w:val="002676EC"/>
    <w:rsid w:val="00271374"/>
    <w:rsid w:val="00271DE9"/>
    <w:rsid w:val="00276798"/>
    <w:rsid w:val="002801B6"/>
    <w:rsid w:val="0028296B"/>
    <w:rsid w:val="00283B43"/>
    <w:rsid w:val="0028656B"/>
    <w:rsid w:val="00291CD0"/>
    <w:rsid w:val="00291E5C"/>
    <w:rsid w:val="0029245B"/>
    <w:rsid w:val="002954D6"/>
    <w:rsid w:val="00296869"/>
    <w:rsid w:val="002A006E"/>
    <w:rsid w:val="002A2ADB"/>
    <w:rsid w:val="002A2EE5"/>
    <w:rsid w:val="002A4D67"/>
    <w:rsid w:val="002A547A"/>
    <w:rsid w:val="002A6038"/>
    <w:rsid w:val="002A74EC"/>
    <w:rsid w:val="002A75FC"/>
    <w:rsid w:val="002A7796"/>
    <w:rsid w:val="002B212E"/>
    <w:rsid w:val="002B4B96"/>
    <w:rsid w:val="002B4EFD"/>
    <w:rsid w:val="002B53CA"/>
    <w:rsid w:val="002C0EE9"/>
    <w:rsid w:val="002C31F0"/>
    <w:rsid w:val="002C3ECE"/>
    <w:rsid w:val="002C3FEF"/>
    <w:rsid w:val="002C44F1"/>
    <w:rsid w:val="002C5A0A"/>
    <w:rsid w:val="002C751E"/>
    <w:rsid w:val="002C7966"/>
    <w:rsid w:val="002C7CCD"/>
    <w:rsid w:val="002D1550"/>
    <w:rsid w:val="002D1E10"/>
    <w:rsid w:val="002D287F"/>
    <w:rsid w:val="002D34E5"/>
    <w:rsid w:val="002D37BA"/>
    <w:rsid w:val="002D5ADD"/>
    <w:rsid w:val="002D7442"/>
    <w:rsid w:val="002D79A9"/>
    <w:rsid w:val="002E09D1"/>
    <w:rsid w:val="002E6038"/>
    <w:rsid w:val="002F1681"/>
    <w:rsid w:val="002F281D"/>
    <w:rsid w:val="002F2973"/>
    <w:rsid w:val="002F42EE"/>
    <w:rsid w:val="002F46A5"/>
    <w:rsid w:val="002F4A60"/>
    <w:rsid w:val="002F5000"/>
    <w:rsid w:val="002F7F9B"/>
    <w:rsid w:val="003008BA"/>
    <w:rsid w:val="0030146E"/>
    <w:rsid w:val="00305F3A"/>
    <w:rsid w:val="00306313"/>
    <w:rsid w:val="003157D2"/>
    <w:rsid w:val="003161B4"/>
    <w:rsid w:val="00317235"/>
    <w:rsid w:val="0032081D"/>
    <w:rsid w:val="00320C2D"/>
    <w:rsid w:val="00323210"/>
    <w:rsid w:val="003233B1"/>
    <w:rsid w:val="00325D53"/>
    <w:rsid w:val="00325DB6"/>
    <w:rsid w:val="00327AFA"/>
    <w:rsid w:val="003368BC"/>
    <w:rsid w:val="00337073"/>
    <w:rsid w:val="003374C1"/>
    <w:rsid w:val="00340C25"/>
    <w:rsid w:val="00341202"/>
    <w:rsid w:val="003417BC"/>
    <w:rsid w:val="00344330"/>
    <w:rsid w:val="00344341"/>
    <w:rsid w:val="003525B2"/>
    <w:rsid w:val="00353BF3"/>
    <w:rsid w:val="00355C8F"/>
    <w:rsid w:val="00356140"/>
    <w:rsid w:val="003564BA"/>
    <w:rsid w:val="00356865"/>
    <w:rsid w:val="00357EB0"/>
    <w:rsid w:val="0036094C"/>
    <w:rsid w:val="003612F3"/>
    <w:rsid w:val="00361E52"/>
    <w:rsid w:val="00366D65"/>
    <w:rsid w:val="00373B8F"/>
    <w:rsid w:val="00376045"/>
    <w:rsid w:val="003770EC"/>
    <w:rsid w:val="00377562"/>
    <w:rsid w:val="00377A94"/>
    <w:rsid w:val="00377C74"/>
    <w:rsid w:val="00380F12"/>
    <w:rsid w:val="00384385"/>
    <w:rsid w:val="003844E9"/>
    <w:rsid w:val="00384949"/>
    <w:rsid w:val="00386CD0"/>
    <w:rsid w:val="00387B36"/>
    <w:rsid w:val="0039101E"/>
    <w:rsid w:val="00393213"/>
    <w:rsid w:val="00394228"/>
    <w:rsid w:val="003942AB"/>
    <w:rsid w:val="00395CA7"/>
    <w:rsid w:val="00396866"/>
    <w:rsid w:val="003973D7"/>
    <w:rsid w:val="003A0892"/>
    <w:rsid w:val="003A1455"/>
    <w:rsid w:val="003A1D3A"/>
    <w:rsid w:val="003A71D2"/>
    <w:rsid w:val="003A74DF"/>
    <w:rsid w:val="003A7DB7"/>
    <w:rsid w:val="003B0096"/>
    <w:rsid w:val="003B0364"/>
    <w:rsid w:val="003B08C7"/>
    <w:rsid w:val="003B0B4F"/>
    <w:rsid w:val="003B3C99"/>
    <w:rsid w:val="003B5337"/>
    <w:rsid w:val="003C031E"/>
    <w:rsid w:val="003C07A1"/>
    <w:rsid w:val="003C0965"/>
    <w:rsid w:val="003C34B3"/>
    <w:rsid w:val="003C34D8"/>
    <w:rsid w:val="003C5155"/>
    <w:rsid w:val="003C59F8"/>
    <w:rsid w:val="003C603B"/>
    <w:rsid w:val="003C6065"/>
    <w:rsid w:val="003C6FAF"/>
    <w:rsid w:val="003D1008"/>
    <w:rsid w:val="003D13F4"/>
    <w:rsid w:val="003D25D0"/>
    <w:rsid w:val="003D2E01"/>
    <w:rsid w:val="003D3792"/>
    <w:rsid w:val="003D5624"/>
    <w:rsid w:val="003D6197"/>
    <w:rsid w:val="003D729E"/>
    <w:rsid w:val="003E11FF"/>
    <w:rsid w:val="003E2A6C"/>
    <w:rsid w:val="003E6374"/>
    <w:rsid w:val="003F056C"/>
    <w:rsid w:val="003F2B56"/>
    <w:rsid w:val="003F33BF"/>
    <w:rsid w:val="003F3864"/>
    <w:rsid w:val="003F50FB"/>
    <w:rsid w:val="003F5130"/>
    <w:rsid w:val="00400F15"/>
    <w:rsid w:val="004012A1"/>
    <w:rsid w:val="004016C4"/>
    <w:rsid w:val="004020E9"/>
    <w:rsid w:val="0040442D"/>
    <w:rsid w:val="004044A7"/>
    <w:rsid w:val="00404995"/>
    <w:rsid w:val="00404E6D"/>
    <w:rsid w:val="004059D7"/>
    <w:rsid w:val="00406287"/>
    <w:rsid w:val="0040763B"/>
    <w:rsid w:val="00407D41"/>
    <w:rsid w:val="00410375"/>
    <w:rsid w:val="004146CA"/>
    <w:rsid w:val="004148FC"/>
    <w:rsid w:val="004203B7"/>
    <w:rsid w:val="00421952"/>
    <w:rsid w:val="0042243E"/>
    <w:rsid w:val="00424AB8"/>
    <w:rsid w:val="00430F5E"/>
    <w:rsid w:val="004314F0"/>
    <w:rsid w:val="0043323D"/>
    <w:rsid w:val="00434C8E"/>
    <w:rsid w:val="00437EA8"/>
    <w:rsid w:val="00442045"/>
    <w:rsid w:val="00442EFF"/>
    <w:rsid w:val="00443069"/>
    <w:rsid w:val="00444578"/>
    <w:rsid w:val="004453DE"/>
    <w:rsid w:val="00450E69"/>
    <w:rsid w:val="0045106A"/>
    <w:rsid w:val="00454A90"/>
    <w:rsid w:val="004553A8"/>
    <w:rsid w:val="00456780"/>
    <w:rsid w:val="0045763A"/>
    <w:rsid w:val="00462C46"/>
    <w:rsid w:val="004632D0"/>
    <w:rsid w:val="00464890"/>
    <w:rsid w:val="00467ECC"/>
    <w:rsid w:val="0047154F"/>
    <w:rsid w:val="00472CA1"/>
    <w:rsid w:val="00474471"/>
    <w:rsid w:val="00474BE7"/>
    <w:rsid w:val="00474F7C"/>
    <w:rsid w:val="00475112"/>
    <w:rsid w:val="00482B93"/>
    <w:rsid w:val="0048354E"/>
    <w:rsid w:val="00492A98"/>
    <w:rsid w:val="0049415A"/>
    <w:rsid w:val="0049743F"/>
    <w:rsid w:val="00497988"/>
    <w:rsid w:val="004A07F9"/>
    <w:rsid w:val="004A3305"/>
    <w:rsid w:val="004A3B3A"/>
    <w:rsid w:val="004A58A8"/>
    <w:rsid w:val="004A5B26"/>
    <w:rsid w:val="004A7AB3"/>
    <w:rsid w:val="004B2CF1"/>
    <w:rsid w:val="004B3D1A"/>
    <w:rsid w:val="004B4661"/>
    <w:rsid w:val="004B5844"/>
    <w:rsid w:val="004B5D8E"/>
    <w:rsid w:val="004B64CA"/>
    <w:rsid w:val="004B69DA"/>
    <w:rsid w:val="004B7828"/>
    <w:rsid w:val="004C06E1"/>
    <w:rsid w:val="004C2882"/>
    <w:rsid w:val="004C2A32"/>
    <w:rsid w:val="004C32E4"/>
    <w:rsid w:val="004C33F4"/>
    <w:rsid w:val="004C3512"/>
    <w:rsid w:val="004C36FE"/>
    <w:rsid w:val="004C3B3A"/>
    <w:rsid w:val="004C4FB2"/>
    <w:rsid w:val="004C53E0"/>
    <w:rsid w:val="004C79A9"/>
    <w:rsid w:val="004D09FE"/>
    <w:rsid w:val="004D0B11"/>
    <w:rsid w:val="004D11B1"/>
    <w:rsid w:val="004D1EBE"/>
    <w:rsid w:val="004D258E"/>
    <w:rsid w:val="004D4738"/>
    <w:rsid w:val="004D6C01"/>
    <w:rsid w:val="004D6FB4"/>
    <w:rsid w:val="004E15F4"/>
    <w:rsid w:val="004F1800"/>
    <w:rsid w:val="004F1C42"/>
    <w:rsid w:val="004F288E"/>
    <w:rsid w:val="004F3F57"/>
    <w:rsid w:val="004F57D0"/>
    <w:rsid w:val="004F586D"/>
    <w:rsid w:val="0050024B"/>
    <w:rsid w:val="00501272"/>
    <w:rsid w:val="00506C5B"/>
    <w:rsid w:val="005101E2"/>
    <w:rsid w:val="0051046B"/>
    <w:rsid w:val="005113BE"/>
    <w:rsid w:val="005137DE"/>
    <w:rsid w:val="0051394B"/>
    <w:rsid w:val="00515E0E"/>
    <w:rsid w:val="00520E18"/>
    <w:rsid w:val="005235A8"/>
    <w:rsid w:val="0052469D"/>
    <w:rsid w:val="005250B6"/>
    <w:rsid w:val="005265CC"/>
    <w:rsid w:val="005276C3"/>
    <w:rsid w:val="0053659C"/>
    <w:rsid w:val="00536B5F"/>
    <w:rsid w:val="00536EE0"/>
    <w:rsid w:val="00536FB0"/>
    <w:rsid w:val="00537F86"/>
    <w:rsid w:val="00545D7C"/>
    <w:rsid w:val="00553376"/>
    <w:rsid w:val="005537C3"/>
    <w:rsid w:val="00553B5B"/>
    <w:rsid w:val="0055771A"/>
    <w:rsid w:val="005577B2"/>
    <w:rsid w:val="00560A8F"/>
    <w:rsid w:val="00562D9B"/>
    <w:rsid w:val="00562E9F"/>
    <w:rsid w:val="00563C78"/>
    <w:rsid w:val="005640AF"/>
    <w:rsid w:val="0056617F"/>
    <w:rsid w:val="00566E92"/>
    <w:rsid w:val="005727FB"/>
    <w:rsid w:val="005734CA"/>
    <w:rsid w:val="005762DF"/>
    <w:rsid w:val="00576AED"/>
    <w:rsid w:val="00577506"/>
    <w:rsid w:val="00582EE2"/>
    <w:rsid w:val="00583F7F"/>
    <w:rsid w:val="00584EEE"/>
    <w:rsid w:val="0059013B"/>
    <w:rsid w:val="00590549"/>
    <w:rsid w:val="00590A0B"/>
    <w:rsid w:val="00594139"/>
    <w:rsid w:val="00594350"/>
    <w:rsid w:val="005944FB"/>
    <w:rsid w:val="00594C7C"/>
    <w:rsid w:val="00595945"/>
    <w:rsid w:val="00595BB7"/>
    <w:rsid w:val="00596939"/>
    <w:rsid w:val="005971E0"/>
    <w:rsid w:val="005A369F"/>
    <w:rsid w:val="005A48C3"/>
    <w:rsid w:val="005A5466"/>
    <w:rsid w:val="005A562B"/>
    <w:rsid w:val="005A6CA1"/>
    <w:rsid w:val="005B1B03"/>
    <w:rsid w:val="005B4AA7"/>
    <w:rsid w:val="005B5F7D"/>
    <w:rsid w:val="005B6BB5"/>
    <w:rsid w:val="005B709E"/>
    <w:rsid w:val="005C1B24"/>
    <w:rsid w:val="005C23E4"/>
    <w:rsid w:val="005C294A"/>
    <w:rsid w:val="005C416F"/>
    <w:rsid w:val="005C4375"/>
    <w:rsid w:val="005C45AA"/>
    <w:rsid w:val="005C5A31"/>
    <w:rsid w:val="005C68E9"/>
    <w:rsid w:val="005C7053"/>
    <w:rsid w:val="005D0DEA"/>
    <w:rsid w:val="005D2961"/>
    <w:rsid w:val="005D2C04"/>
    <w:rsid w:val="005D2DB5"/>
    <w:rsid w:val="005D334B"/>
    <w:rsid w:val="005D366B"/>
    <w:rsid w:val="005D4E3F"/>
    <w:rsid w:val="005D7229"/>
    <w:rsid w:val="005D79FC"/>
    <w:rsid w:val="005D7D07"/>
    <w:rsid w:val="005E02BE"/>
    <w:rsid w:val="005E06FE"/>
    <w:rsid w:val="005E340D"/>
    <w:rsid w:val="005E3696"/>
    <w:rsid w:val="005E3906"/>
    <w:rsid w:val="005E39B6"/>
    <w:rsid w:val="005E4B02"/>
    <w:rsid w:val="005F03B8"/>
    <w:rsid w:val="005F0F3F"/>
    <w:rsid w:val="005F34C4"/>
    <w:rsid w:val="005F3703"/>
    <w:rsid w:val="005F3AC3"/>
    <w:rsid w:val="005F498A"/>
    <w:rsid w:val="005F635B"/>
    <w:rsid w:val="005F78FC"/>
    <w:rsid w:val="005F7F99"/>
    <w:rsid w:val="006013AE"/>
    <w:rsid w:val="00604444"/>
    <w:rsid w:val="00604C74"/>
    <w:rsid w:val="006059A4"/>
    <w:rsid w:val="006101F6"/>
    <w:rsid w:val="006120B2"/>
    <w:rsid w:val="00612EDB"/>
    <w:rsid w:val="00613836"/>
    <w:rsid w:val="0061428F"/>
    <w:rsid w:val="0061528D"/>
    <w:rsid w:val="00620A61"/>
    <w:rsid w:val="00620AE3"/>
    <w:rsid w:val="00620C97"/>
    <w:rsid w:val="00621050"/>
    <w:rsid w:val="0062112E"/>
    <w:rsid w:val="00621AC4"/>
    <w:rsid w:val="00621BA5"/>
    <w:rsid w:val="00621C8F"/>
    <w:rsid w:val="00622F08"/>
    <w:rsid w:val="006248EF"/>
    <w:rsid w:val="006253E9"/>
    <w:rsid w:val="00626848"/>
    <w:rsid w:val="00626EFE"/>
    <w:rsid w:val="00627AD0"/>
    <w:rsid w:val="00636F19"/>
    <w:rsid w:val="006411F1"/>
    <w:rsid w:val="00641899"/>
    <w:rsid w:val="00642B6F"/>
    <w:rsid w:val="0064465C"/>
    <w:rsid w:val="006449E9"/>
    <w:rsid w:val="00644C32"/>
    <w:rsid w:val="0064746F"/>
    <w:rsid w:val="0065230F"/>
    <w:rsid w:val="00656710"/>
    <w:rsid w:val="006617B2"/>
    <w:rsid w:val="00662FBF"/>
    <w:rsid w:val="00663145"/>
    <w:rsid w:val="006650C4"/>
    <w:rsid w:val="0066656C"/>
    <w:rsid w:val="00670DCE"/>
    <w:rsid w:val="006711E0"/>
    <w:rsid w:val="00671AC8"/>
    <w:rsid w:val="00671BF0"/>
    <w:rsid w:val="0067241D"/>
    <w:rsid w:val="00673A5C"/>
    <w:rsid w:val="00675464"/>
    <w:rsid w:val="006767E3"/>
    <w:rsid w:val="00677947"/>
    <w:rsid w:val="0068161C"/>
    <w:rsid w:val="006816A2"/>
    <w:rsid w:val="00681D73"/>
    <w:rsid w:val="00687581"/>
    <w:rsid w:val="00695708"/>
    <w:rsid w:val="00696B4B"/>
    <w:rsid w:val="00697A76"/>
    <w:rsid w:val="00697B43"/>
    <w:rsid w:val="00697C49"/>
    <w:rsid w:val="006A004A"/>
    <w:rsid w:val="006A1D4E"/>
    <w:rsid w:val="006A4770"/>
    <w:rsid w:val="006A4BD2"/>
    <w:rsid w:val="006A561D"/>
    <w:rsid w:val="006A745B"/>
    <w:rsid w:val="006A7D36"/>
    <w:rsid w:val="006B0701"/>
    <w:rsid w:val="006B1539"/>
    <w:rsid w:val="006B2B4C"/>
    <w:rsid w:val="006B3B7D"/>
    <w:rsid w:val="006B3D42"/>
    <w:rsid w:val="006B405C"/>
    <w:rsid w:val="006B7A3A"/>
    <w:rsid w:val="006C0CE7"/>
    <w:rsid w:val="006C3DCC"/>
    <w:rsid w:val="006D1BB6"/>
    <w:rsid w:val="006D2ADB"/>
    <w:rsid w:val="006D589B"/>
    <w:rsid w:val="006D7FBE"/>
    <w:rsid w:val="006E0C9B"/>
    <w:rsid w:val="006E1B75"/>
    <w:rsid w:val="006E357E"/>
    <w:rsid w:val="006E57F5"/>
    <w:rsid w:val="006E5EE3"/>
    <w:rsid w:val="006E717B"/>
    <w:rsid w:val="006E7530"/>
    <w:rsid w:val="006F2690"/>
    <w:rsid w:val="006F6DCC"/>
    <w:rsid w:val="006F77C5"/>
    <w:rsid w:val="00701140"/>
    <w:rsid w:val="00701ACF"/>
    <w:rsid w:val="00702818"/>
    <w:rsid w:val="00702FCC"/>
    <w:rsid w:val="00703FAD"/>
    <w:rsid w:val="00705A1F"/>
    <w:rsid w:val="00707B82"/>
    <w:rsid w:val="007108FB"/>
    <w:rsid w:val="00711DAC"/>
    <w:rsid w:val="0071303D"/>
    <w:rsid w:val="007137C4"/>
    <w:rsid w:val="00713B0C"/>
    <w:rsid w:val="007151C5"/>
    <w:rsid w:val="00715944"/>
    <w:rsid w:val="007171BB"/>
    <w:rsid w:val="00717501"/>
    <w:rsid w:val="00717879"/>
    <w:rsid w:val="00720190"/>
    <w:rsid w:val="00726256"/>
    <w:rsid w:val="0072756D"/>
    <w:rsid w:val="00727C42"/>
    <w:rsid w:val="0073018C"/>
    <w:rsid w:val="00730440"/>
    <w:rsid w:val="007307C8"/>
    <w:rsid w:val="00730C5A"/>
    <w:rsid w:val="00731B79"/>
    <w:rsid w:val="007352AF"/>
    <w:rsid w:val="007358FD"/>
    <w:rsid w:val="007471FC"/>
    <w:rsid w:val="007478B5"/>
    <w:rsid w:val="00747FB9"/>
    <w:rsid w:val="00751F19"/>
    <w:rsid w:val="00754061"/>
    <w:rsid w:val="00754B57"/>
    <w:rsid w:val="0075527E"/>
    <w:rsid w:val="00756984"/>
    <w:rsid w:val="00757265"/>
    <w:rsid w:val="007603E6"/>
    <w:rsid w:val="00760BDE"/>
    <w:rsid w:val="00762F68"/>
    <w:rsid w:val="00763A4A"/>
    <w:rsid w:val="007646ED"/>
    <w:rsid w:val="00764D25"/>
    <w:rsid w:val="00764FF4"/>
    <w:rsid w:val="0076704D"/>
    <w:rsid w:val="007671B6"/>
    <w:rsid w:val="00774C39"/>
    <w:rsid w:val="007760C3"/>
    <w:rsid w:val="007824C7"/>
    <w:rsid w:val="0078608C"/>
    <w:rsid w:val="007867DE"/>
    <w:rsid w:val="00793650"/>
    <w:rsid w:val="00797195"/>
    <w:rsid w:val="007A0CCB"/>
    <w:rsid w:val="007A69C8"/>
    <w:rsid w:val="007A6F20"/>
    <w:rsid w:val="007A72C1"/>
    <w:rsid w:val="007B0365"/>
    <w:rsid w:val="007B3B73"/>
    <w:rsid w:val="007B4994"/>
    <w:rsid w:val="007B61AE"/>
    <w:rsid w:val="007B67B0"/>
    <w:rsid w:val="007B6912"/>
    <w:rsid w:val="007C0BCA"/>
    <w:rsid w:val="007C3737"/>
    <w:rsid w:val="007C55CA"/>
    <w:rsid w:val="007C56C1"/>
    <w:rsid w:val="007C5B5D"/>
    <w:rsid w:val="007C5FD5"/>
    <w:rsid w:val="007C655C"/>
    <w:rsid w:val="007D02B2"/>
    <w:rsid w:val="007D1A57"/>
    <w:rsid w:val="007D1D15"/>
    <w:rsid w:val="007D2188"/>
    <w:rsid w:val="007D3127"/>
    <w:rsid w:val="007D35BA"/>
    <w:rsid w:val="007D4DAE"/>
    <w:rsid w:val="007D77D4"/>
    <w:rsid w:val="007E01F1"/>
    <w:rsid w:val="007E0619"/>
    <w:rsid w:val="007E0C77"/>
    <w:rsid w:val="007E6DDA"/>
    <w:rsid w:val="007E7117"/>
    <w:rsid w:val="007E749E"/>
    <w:rsid w:val="007E7C0A"/>
    <w:rsid w:val="007E7DB2"/>
    <w:rsid w:val="007F132D"/>
    <w:rsid w:val="007F4BB3"/>
    <w:rsid w:val="007F515D"/>
    <w:rsid w:val="007F5FC7"/>
    <w:rsid w:val="007F759F"/>
    <w:rsid w:val="0080337D"/>
    <w:rsid w:val="008034D1"/>
    <w:rsid w:val="00805A6C"/>
    <w:rsid w:val="008071B2"/>
    <w:rsid w:val="008076C9"/>
    <w:rsid w:val="008131EA"/>
    <w:rsid w:val="0081385D"/>
    <w:rsid w:val="00813DA1"/>
    <w:rsid w:val="00814974"/>
    <w:rsid w:val="00815B58"/>
    <w:rsid w:val="00817556"/>
    <w:rsid w:val="008210E8"/>
    <w:rsid w:val="008217F8"/>
    <w:rsid w:val="008322AA"/>
    <w:rsid w:val="0083258F"/>
    <w:rsid w:val="008331D5"/>
    <w:rsid w:val="00840DDE"/>
    <w:rsid w:val="00845D20"/>
    <w:rsid w:val="00850BDF"/>
    <w:rsid w:val="00850CCB"/>
    <w:rsid w:val="00852151"/>
    <w:rsid w:val="00854E95"/>
    <w:rsid w:val="008555CB"/>
    <w:rsid w:val="008577AB"/>
    <w:rsid w:val="00857E53"/>
    <w:rsid w:val="008607FD"/>
    <w:rsid w:val="00860A15"/>
    <w:rsid w:val="008635ED"/>
    <w:rsid w:val="008649F4"/>
    <w:rsid w:val="00867B8A"/>
    <w:rsid w:val="00867F16"/>
    <w:rsid w:val="00870D5F"/>
    <w:rsid w:val="008713BC"/>
    <w:rsid w:val="00871C43"/>
    <w:rsid w:val="0087257E"/>
    <w:rsid w:val="00872D01"/>
    <w:rsid w:val="008733ED"/>
    <w:rsid w:val="0087568A"/>
    <w:rsid w:val="0087573B"/>
    <w:rsid w:val="00875D67"/>
    <w:rsid w:val="00875E59"/>
    <w:rsid w:val="00876A7B"/>
    <w:rsid w:val="00876F52"/>
    <w:rsid w:val="008801F3"/>
    <w:rsid w:val="00881BF5"/>
    <w:rsid w:val="008824AE"/>
    <w:rsid w:val="00884A0B"/>
    <w:rsid w:val="008859CC"/>
    <w:rsid w:val="008859D5"/>
    <w:rsid w:val="00885CC7"/>
    <w:rsid w:val="008861C0"/>
    <w:rsid w:val="00886890"/>
    <w:rsid w:val="00886FF7"/>
    <w:rsid w:val="0089055A"/>
    <w:rsid w:val="00891E5E"/>
    <w:rsid w:val="00893805"/>
    <w:rsid w:val="00895D6F"/>
    <w:rsid w:val="00895D96"/>
    <w:rsid w:val="008969D8"/>
    <w:rsid w:val="00897240"/>
    <w:rsid w:val="00897C9F"/>
    <w:rsid w:val="00897DCB"/>
    <w:rsid w:val="008A03D2"/>
    <w:rsid w:val="008A03D5"/>
    <w:rsid w:val="008A03EF"/>
    <w:rsid w:val="008A24C3"/>
    <w:rsid w:val="008A30B1"/>
    <w:rsid w:val="008A30F7"/>
    <w:rsid w:val="008A5481"/>
    <w:rsid w:val="008A7CFC"/>
    <w:rsid w:val="008B1BA9"/>
    <w:rsid w:val="008B3706"/>
    <w:rsid w:val="008B5695"/>
    <w:rsid w:val="008B597D"/>
    <w:rsid w:val="008B6B6D"/>
    <w:rsid w:val="008B6EAE"/>
    <w:rsid w:val="008C4824"/>
    <w:rsid w:val="008C6384"/>
    <w:rsid w:val="008C6BBF"/>
    <w:rsid w:val="008D05FB"/>
    <w:rsid w:val="008D087D"/>
    <w:rsid w:val="008D205A"/>
    <w:rsid w:val="008D576F"/>
    <w:rsid w:val="008D79EC"/>
    <w:rsid w:val="008D7A32"/>
    <w:rsid w:val="008E134C"/>
    <w:rsid w:val="008E2114"/>
    <w:rsid w:val="008E3904"/>
    <w:rsid w:val="008E3F05"/>
    <w:rsid w:val="008E5D74"/>
    <w:rsid w:val="008E618B"/>
    <w:rsid w:val="008E6CCF"/>
    <w:rsid w:val="008F02C4"/>
    <w:rsid w:val="008F23AE"/>
    <w:rsid w:val="008F303A"/>
    <w:rsid w:val="008F3EE8"/>
    <w:rsid w:val="008F3FB6"/>
    <w:rsid w:val="008F569F"/>
    <w:rsid w:val="008F5AC3"/>
    <w:rsid w:val="008F7B57"/>
    <w:rsid w:val="00900BC5"/>
    <w:rsid w:val="009019C8"/>
    <w:rsid w:val="00902E50"/>
    <w:rsid w:val="00906A03"/>
    <w:rsid w:val="00910760"/>
    <w:rsid w:val="0091100C"/>
    <w:rsid w:val="00911AE9"/>
    <w:rsid w:val="00914E91"/>
    <w:rsid w:val="00915396"/>
    <w:rsid w:val="009200AE"/>
    <w:rsid w:val="009205CC"/>
    <w:rsid w:val="00921FF0"/>
    <w:rsid w:val="00923123"/>
    <w:rsid w:val="009231E1"/>
    <w:rsid w:val="009233C0"/>
    <w:rsid w:val="00927490"/>
    <w:rsid w:val="00927549"/>
    <w:rsid w:val="0093088A"/>
    <w:rsid w:val="00930F72"/>
    <w:rsid w:val="0093130E"/>
    <w:rsid w:val="00931CDF"/>
    <w:rsid w:val="0093220C"/>
    <w:rsid w:val="00933D88"/>
    <w:rsid w:val="00935263"/>
    <w:rsid w:val="00935C28"/>
    <w:rsid w:val="00935F08"/>
    <w:rsid w:val="00937AC9"/>
    <w:rsid w:val="00940F29"/>
    <w:rsid w:val="00941009"/>
    <w:rsid w:val="00942EB8"/>
    <w:rsid w:val="009431B3"/>
    <w:rsid w:val="00947C78"/>
    <w:rsid w:val="00951468"/>
    <w:rsid w:val="00954567"/>
    <w:rsid w:val="00956D94"/>
    <w:rsid w:val="00957B0D"/>
    <w:rsid w:val="00960D3E"/>
    <w:rsid w:val="00960DB3"/>
    <w:rsid w:val="00961CAE"/>
    <w:rsid w:val="00964D32"/>
    <w:rsid w:val="00966DB4"/>
    <w:rsid w:val="00966DBE"/>
    <w:rsid w:val="00967C28"/>
    <w:rsid w:val="00970451"/>
    <w:rsid w:val="00970852"/>
    <w:rsid w:val="00971CBE"/>
    <w:rsid w:val="00972F56"/>
    <w:rsid w:val="00973848"/>
    <w:rsid w:val="00975D32"/>
    <w:rsid w:val="00976CA7"/>
    <w:rsid w:val="009778C7"/>
    <w:rsid w:val="00980F64"/>
    <w:rsid w:val="00981893"/>
    <w:rsid w:val="00981C42"/>
    <w:rsid w:val="0098550C"/>
    <w:rsid w:val="00987A15"/>
    <w:rsid w:val="009918C6"/>
    <w:rsid w:val="00992B84"/>
    <w:rsid w:val="00994406"/>
    <w:rsid w:val="009944A8"/>
    <w:rsid w:val="009A0FA4"/>
    <w:rsid w:val="009A227D"/>
    <w:rsid w:val="009A620A"/>
    <w:rsid w:val="009B11F3"/>
    <w:rsid w:val="009B2808"/>
    <w:rsid w:val="009B3642"/>
    <w:rsid w:val="009B4D4A"/>
    <w:rsid w:val="009B4FD7"/>
    <w:rsid w:val="009B6183"/>
    <w:rsid w:val="009C06E2"/>
    <w:rsid w:val="009C1AB1"/>
    <w:rsid w:val="009C1E7E"/>
    <w:rsid w:val="009C2782"/>
    <w:rsid w:val="009C362B"/>
    <w:rsid w:val="009C45DA"/>
    <w:rsid w:val="009C4AB1"/>
    <w:rsid w:val="009D0AF1"/>
    <w:rsid w:val="009D0C31"/>
    <w:rsid w:val="009D1113"/>
    <w:rsid w:val="009D258D"/>
    <w:rsid w:val="009D2C7C"/>
    <w:rsid w:val="009D2D12"/>
    <w:rsid w:val="009D2E6E"/>
    <w:rsid w:val="009D7304"/>
    <w:rsid w:val="009D7A9B"/>
    <w:rsid w:val="009E36BF"/>
    <w:rsid w:val="009E46D8"/>
    <w:rsid w:val="009E4787"/>
    <w:rsid w:val="009E4AF4"/>
    <w:rsid w:val="009E5763"/>
    <w:rsid w:val="009E73FA"/>
    <w:rsid w:val="009F0EB5"/>
    <w:rsid w:val="009F183A"/>
    <w:rsid w:val="009F1918"/>
    <w:rsid w:val="009F273E"/>
    <w:rsid w:val="009F30E5"/>
    <w:rsid w:val="009F3F8E"/>
    <w:rsid w:val="00A00AE6"/>
    <w:rsid w:val="00A01408"/>
    <w:rsid w:val="00A01B48"/>
    <w:rsid w:val="00A03F48"/>
    <w:rsid w:val="00A04808"/>
    <w:rsid w:val="00A06B1C"/>
    <w:rsid w:val="00A11700"/>
    <w:rsid w:val="00A141ED"/>
    <w:rsid w:val="00A14888"/>
    <w:rsid w:val="00A15501"/>
    <w:rsid w:val="00A1613E"/>
    <w:rsid w:val="00A17253"/>
    <w:rsid w:val="00A1728B"/>
    <w:rsid w:val="00A20516"/>
    <w:rsid w:val="00A21301"/>
    <w:rsid w:val="00A27E6B"/>
    <w:rsid w:val="00A27F01"/>
    <w:rsid w:val="00A33CCB"/>
    <w:rsid w:val="00A341D1"/>
    <w:rsid w:val="00A34AD6"/>
    <w:rsid w:val="00A400C9"/>
    <w:rsid w:val="00A41AC2"/>
    <w:rsid w:val="00A42C08"/>
    <w:rsid w:val="00A42CE1"/>
    <w:rsid w:val="00A450BE"/>
    <w:rsid w:val="00A47CA4"/>
    <w:rsid w:val="00A52304"/>
    <w:rsid w:val="00A52484"/>
    <w:rsid w:val="00A60635"/>
    <w:rsid w:val="00A6274B"/>
    <w:rsid w:val="00A701A6"/>
    <w:rsid w:val="00A70732"/>
    <w:rsid w:val="00A722E3"/>
    <w:rsid w:val="00A72A4E"/>
    <w:rsid w:val="00A73374"/>
    <w:rsid w:val="00A7347E"/>
    <w:rsid w:val="00A7365A"/>
    <w:rsid w:val="00A7366A"/>
    <w:rsid w:val="00A773FC"/>
    <w:rsid w:val="00A809F5"/>
    <w:rsid w:val="00A81390"/>
    <w:rsid w:val="00A82092"/>
    <w:rsid w:val="00A82295"/>
    <w:rsid w:val="00A82678"/>
    <w:rsid w:val="00A82D4A"/>
    <w:rsid w:val="00A835E2"/>
    <w:rsid w:val="00A83FB1"/>
    <w:rsid w:val="00A8625C"/>
    <w:rsid w:val="00A86A53"/>
    <w:rsid w:val="00A86F81"/>
    <w:rsid w:val="00A876F4"/>
    <w:rsid w:val="00A91381"/>
    <w:rsid w:val="00A9267E"/>
    <w:rsid w:val="00A947B1"/>
    <w:rsid w:val="00A96BF6"/>
    <w:rsid w:val="00A97F6D"/>
    <w:rsid w:val="00AA0244"/>
    <w:rsid w:val="00AA323B"/>
    <w:rsid w:val="00AA41F7"/>
    <w:rsid w:val="00AB3849"/>
    <w:rsid w:val="00AB3AFE"/>
    <w:rsid w:val="00AB49C4"/>
    <w:rsid w:val="00AB5722"/>
    <w:rsid w:val="00AB69E4"/>
    <w:rsid w:val="00AC0CE3"/>
    <w:rsid w:val="00AC15FB"/>
    <w:rsid w:val="00AC2799"/>
    <w:rsid w:val="00AC69B0"/>
    <w:rsid w:val="00AD59E5"/>
    <w:rsid w:val="00AD70E4"/>
    <w:rsid w:val="00AE1662"/>
    <w:rsid w:val="00AE181D"/>
    <w:rsid w:val="00AE29CD"/>
    <w:rsid w:val="00AE2A8D"/>
    <w:rsid w:val="00AE33CD"/>
    <w:rsid w:val="00AE422E"/>
    <w:rsid w:val="00AE4DDD"/>
    <w:rsid w:val="00AE7615"/>
    <w:rsid w:val="00AE7FE2"/>
    <w:rsid w:val="00AF0B8C"/>
    <w:rsid w:val="00AF17A0"/>
    <w:rsid w:val="00AF4930"/>
    <w:rsid w:val="00AF6467"/>
    <w:rsid w:val="00B00555"/>
    <w:rsid w:val="00B0098B"/>
    <w:rsid w:val="00B009F0"/>
    <w:rsid w:val="00B0188F"/>
    <w:rsid w:val="00B02530"/>
    <w:rsid w:val="00B04082"/>
    <w:rsid w:val="00B05C77"/>
    <w:rsid w:val="00B07B7D"/>
    <w:rsid w:val="00B113B2"/>
    <w:rsid w:val="00B11BEB"/>
    <w:rsid w:val="00B12A0B"/>
    <w:rsid w:val="00B12C3B"/>
    <w:rsid w:val="00B13C3A"/>
    <w:rsid w:val="00B15F05"/>
    <w:rsid w:val="00B15FB0"/>
    <w:rsid w:val="00B1614B"/>
    <w:rsid w:val="00B16F84"/>
    <w:rsid w:val="00B237BC"/>
    <w:rsid w:val="00B2428B"/>
    <w:rsid w:val="00B24F80"/>
    <w:rsid w:val="00B27284"/>
    <w:rsid w:val="00B278AF"/>
    <w:rsid w:val="00B31106"/>
    <w:rsid w:val="00B33975"/>
    <w:rsid w:val="00B34F7B"/>
    <w:rsid w:val="00B35245"/>
    <w:rsid w:val="00B358F6"/>
    <w:rsid w:val="00B36ED9"/>
    <w:rsid w:val="00B36F61"/>
    <w:rsid w:val="00B3731B"/>
    <w:rsid w:val="00B4629A"/>
    <w:rsid w:val="00B463B9"/>
    <w:rsid w:val="00B471B5"/>
    <w:rsid w:val="00B47255"/>
    <w:rsid w:val="00B47880"/>
    <w:rsid w:val="00B5156B"/>
    <w:rsid w:val="00B5178E"/>
    <w:rsid w:val="00B52282"/>
    <w:rsid w:val="00B526D8"/>
    <w:rsid w:val="00B5310F"/>
    <w:rsid w:val="00B5321B"/>
    <w:rsid w:val="00B54B80"/>
    <w:rsid w:val="00B5594D"/>
    <w:rsid w:val="00B56A72"/>
    <w:rsid w:val="00B579CE"/>
    <w:rsid w:val="00B60360"/>
    <w:rsid w:val="00B63368"/>
    <w:rsid w:val="00B6739D"/>
    <w:rsid w:val="00B70432"/>
    <w:rsid w:val="00B72079"/>
    <w:rsid w:val="00B744CC"/>
    <w:rsid w:val="00B77B05"/>
    <w:rsid w:val="00B77B29"/>
    <w:rsid w:val="00B80541"/>
    <w:rsid w:val="00B8300B"/>
    <w:rsid w:val="00B83C0B"/>
    <w:rsid w:val="00B84124"/>
    <w:rsid w:val="00B8440A"/>
    <w:rsid w:val="00B85250"/>
    <w:rsid w:val="00B86486"/>
    <w:rsid w:val="00B865F2"/>
    <w:rsid w:val="00B91410"/>
    <w:rsid w:val="00B918E3"/>
    <w:rsid w:val="00B91B9B"/>
    <w:rsid w:val="00B92B72"/>
    <w:rsid w:val="00B930C2"/>
    <w:rsid w:val="00B94E8F"/>
    <w:rsid w:val="00B95AE0"/>
    <w:rsid w:val="00BA2A8F"/>
    <w:rsid w:val="00BA5970"/>
    <w:rsid w:val="00BA7212"/>
    <w:rsid w:val="00BB543B"/>
    <w:rsid w:val="00BB66C5"/>
    <w:rsid w:val="00BB6F8F"/>
    <w:rsid w:val="00BB798B"/>
    <w:rsid w:val="00BC0078"/>
    <w:rsid w:val="00BC37C5"/>
    <w:rsid w:val="00BC3EC9"/>
    <w:rsid w:val="00BC43CD"/>
    <w:rsid w:val="00BC5A28"/>
    <w:rsid w:val="00BC697F"/>
    <w:rsid w:val="00BD08A6"/>
    <w:rsid w:val="00BD098E"/>
    <w:rsid w:val="00BD46BC"/>
    <w:rsid w:val="00BD56C8"/>
    <w:rsid w:val="00BD5E44"/>
    <w:rsid w:val="00BD69D6"/>
    <w:rsid w:val="00BE1152"/>
    <w:rsid w:val="00BE16D5"/>
    <w:rsid w:val="00BE1BB8"/>
    <w:rsid w:val="00BE4F52"/>
    <w:rsid w:val="00BE66AC"/>
    <w:rsid w:val="00BE6920"/>
    <w:rsid w:val="00BE6BCF"/>
    <w:rsid w:val="00BE6F2D"/>
    <w:rsid w:val="00BF12D1"/>
    <w:rsid w:val="00C02407"/>
    <w:rsid w:val="00C040F3"/>
    <w:rsid w:val="00C04F29"/>
    <w:rsid w:val="00C0606B"/>
    <w:rsid w:val="00C06EC9"/>
    <w:rsid w:val="00C06F8D"/>
    <w:rsid w:val="00C077BF"/>
    <w:rsid w:val="00C07B75"/>
    <w:rsid w:val="00C10A12"/>
    <w:rsid w:val="00C11618"/>
    <w:rsid w:val="00C14D84"/>
    <w:rsid w:val="00C14EDC"/>
    <w:rsid w:val="00C1525B"/>
    <w:rsid w:val="00C157EF"/>
    <w:rsid w:val="00C15A0D"/>
    <w:rsid w:val="00C17633"/>
    <w:rsid w:val="00C22601"/>
    <w:rsid w:val="00C23515"/>
    <w:rsid w:val="00C3324D"/>
    <w:rsid w:val="00C3444D"/>
    <w:rsid w:val="00C3627A"/>
    <w:rsid w:val="00C36CE4"/>
    <w:rsid w:val="00C40B93"/>
    <w:rsid w:val="00C426A9"/>
    <w:rsid w:val="00C42757"/>
    <w:rsid w:val="00C4337B"/>
    <w:rsid w:val="00C43513"/>
    <w:rsid w:val="00C44395"/>
    <w:rsid w:val="00C455CF"/>
    <w:rsid w:val="00C50F3E"/>
    <w:rsid w:val="00C558E6"/>
    <w:rsid w:val="00C561B3"/>
    <w:rsid w:val="00C56922"/>
    <w:rsid w:val="00C57894"/>
    <w:rsid w:val="00C60E73"/>
    <w:rsid w:val="00C6122A"/>
    <w:rsid w:val="00C636B7"/>
    <w:rsid w:val="00C6565C"/>
    <w:rsid w:val="00C662E7"/>
    <w:rsid w:val="00C66A9A"/>
    <w:rsid w:val="00C67588"/>
    <w:rsid w:val="00C67661"/>
    <w:rsid w:val="00C6767A"/>
    <w:rsid w:val="00C70526"/>
    <w:rsid w:val="00C70A45"/>
    <w:rsid w:val="00C70E95"/>
    <w:rsid w:val="00C77285"/>
    <w:rsid w:val="00C812E3"/>
    <w:rsid w:val="00C82530"/>
    <w:rsid w:val="00C82D47"/>
    <w:rsid w:val="00C8316A"/>
    <w:rsid w:val="00C8399E"/>
    <w:rsid w:val="00C83B76"/>
    <w:rsid w:val="00C85A47"/>
    <w:rsid w:val="00C8618B"/>
    <w:rsid w:val="00C863D2"/>
    <w:rsid w:val="00C86BC3"/>
    <w:rsid w:val="00C90222"/>
    <w:rsid w:val="00C904CE"/>
    <w:rsid w:val="00C90F45"/>
    <w:rsid w:val="00C9329C"/>
    <w:rsid w:val="00C95ED4"/>
    <w:rsid w:val="00C96EA5"/>
    <w:rsid w:val="00CA32A4"/>
    <w:rsid w:val="00CA3EF4"/>
    <w:rsid w:val="00CA4338"/>
    <w:rsid w:val="00CA4C5D"/>
    <w:rsid w:val="00CA5440"/>
    <w:rsid w:val="00CA5634"/>
    <w:rsid w:val="00CA77ED"/>
    <w:rsid w:val="00CB22A0"/>
    <w:rsid w:val="00CB4779"/>
    <w:rsid w:val="00CB5BE0"/>
    <w:rsid w:val="00CB6290"/>
    <w:rsid w:val="00CC06F0"/>
    <w:rsid w:val="00CC0D1A"/>
    <w:rsid w:val="00CC21BB"/>
    <w:rsid w:val="00CC2D21"/>
    <w:rsid w:val="00CC3408"/>
    <w:rsid w:val="00CC3665"/>
    <w:rsid w:val="00CC45CB"/>
    <w:rsid w:val="00CC4CE1"/>
    <w:rsid w:val="00CC4DAA"/>
    <w:rsid w:val="00CC5055"/>
    <w:rsid w:val="00CC6737"/>
    <w:rsid w:val="00CD01A4"/>
    <w:rsid w:val="00CD0FFF"/>
    <w:rsid w:val="00CD13AD"/>
    <w:rsid w:val="00CD15AA"/>
    <w:rsid w:val="00CD27BC"/>
    <w:rsid w:val="00CD29D1"/>
    <w:rsid w:val="00CD32D2"/>
    <w:rsid w:val="00CD4816"/>
    <w:rsid w:val="00CD56D3"/>
    <w:rsid w:val="00CD64EF"/>
    <w:rsid w:val="00CD7338"/>
    <w:rsid w:val="00CE138D"/>
    <w:rsid w:val="00CE184A"/>
    <w:rsid w:val="00CE3163"/>
    <w:rsid w:val="00CE5E69"/>
    <w:rsid w:val="00CE78C3"/>
    <w:rsid w:val="00CF153A"/>
    <w:rsid w:val="00D0193F"/>
    <w:rsid w:val="00D058D2"/>
    <w:rsid w:val="00D05C84"/>
    <w:rsid w:val="00D06BC3"/>
    <w:rsid w:val="00D073BD"/>
    <w:rsid w:val="00D13943"/>
    <w:rsid w:val="00D167A6"/>
    <w:rsid w:val="00D17BDF"/>
    <w:rsid w:val="00D20706"/>
    <w:rsid w:val="00D20D73"/>
    <w:rsid w:val="00D23730"/>
    <w:rsid w:val="00D23A37"/>
    <w:rsid w:val="00D2460F"/>
    <w:rsid w:val="00D24940"/>
    <w:rsid w:val="00D3013E"/>
    <w:rsid w:val="00D315F8"/>
    <w:rsid w:val="00D32008"/>
    <w:rsid w:val="00D323B7"/>
    <w:rsid w:val="00D3261A"/>
    <w:rsid w:val="00D33D26"/>
    <w:rsid w:val="00D33FB9"/>
    <w:rsid w:val="00D35626"/>
    <w:rsid w:val="00D3604A"/>
    <w:rsid w:val="00D36ABE"/>
    <w:rsid w:val="00D36E60"/>
    <w:rsid w:val="00D37261"/>
    <w:rsid w:val="00D42625"/>
    <w:rsid w:val="00D426CA"/>
    <w:rsid w:val="00D462E8"/>
    <w:rsid w:val="00D477E4"/>
    <w:rsid w:val="00D50026"/>
    <w:rsid w:val="00D50153"/>
    <w:rsid w:val="00D51217"/>
    <w:rsid w:val="00D526F1"/>
    <w:rsid w:val="00D52AAD"/>
    <w:rsid w:val="00D52AB3"/>
    <w:rsid w:val="00D54625"/>
    <w:rsid w:val="00D54D1D"/>
    <w:rsid w:val="00D5604D"/>
    <w:rsid w:val="00D569B1"/>
    <w:rsid w:val="00D5712F"/>
    <w:rsid w:val="00D573B3"/>
    <w:rsid w:val="00D57538"/>
    <w:rsid w:val="00D608AA"/>
    <w:rsid w:val="00D60BEF"/>
    <w:rsid w:val="00D6293D"/>
    <w:rsid w:val="00D645FA"/>
    <w:rsid w:val="00D66751"/>
    <w:rsid w:val="00D67639"/>
    <w:rsid w:val="00D67DB8"/>
    <w:rsid w:val="00D70730"/>
    <w:rsid w:val="00D70934"/>
    <w:rsid w:val="00D729C1"/>
    <w:rsid w:val="00D72C44"/>
    <w:rsid w:val="00D7440A"/>
    <w:rsid w:val="00D76746"/>
    <w:rsid w:val="00D7696C"/>
    <w:rsid w:val="00D777CC"/>
    <w:rsid w:val="00D77B6F"/>
    <w:rsid w:val="00D77DE8"/>
    <w:rsid w:val="00D81551"/>
    <w:rsid w:val="00D85BF4"/>
    <w:rsid w:val="00D86923"/>
    <w:rsid w:val="00D873B5"/>
    <w:rsid w:val="00D87BCC"/>
    <w:rsid w:val="00D91EB7"/>
    <w:rsid w:val="00D9296C"/>
    <w:rsid w:val="00D92A6D"/>
    <w:rsid w:val="00D92BD8"/>
    <w:rsid w:val="00D93207"/>
    <w:rsid w:val="00D9716F"/>
    <w:rsid w:val="00D97A38"/>
    <w:rsid w:val="00D97DA9"/>
    <w:rsid w:val="00D97F91"/>
    <w:rsid w:val="00DA0304"/>
    <w:rsid w:val="00DA2479"/>
    <w:rsid w:val="00DA2EE6"/>
    <w:rsid w:val="00DA31F8"/>
    <w:rsid w:val="00DA3946"/>
    <w:rsid w:val="00DA488D"/>
    <w:rsid w:val="00DB3461"/>
    <w:rsid w:val="00DB39ED"/>
    <w:rsid w:val="00DB4DB0"/>
    <w:rsid w:val="00DB6100"/>
    <w:rsid w:val="00DB6ACE"/>
    <w:rsid w:val="00DC0CA2"/>
    <w:rsid w:val="00DC4D4C"/>
    <w:rsid w:val="00DC4F8E"/>
    <w:rsid w:val="00DC5234"/>
    <w:rsid w:val="00DC5D21"/>
    <w:rsid w:val="00DC619A"/>
    <w:rsid w:val="00DD4461"/>
    <w:rsid w:val="00DD51D5"/>
    <w:rsid w:val="00DD5448"/>
    <w:rsid w:val="00DD5AB4"/>
    <w:rsid w:val="00DE0B07"/>
    <w:rsid w:val="00DE1803"/>
    <w:rsid w:val="00DE2155"/>
    <w:rsid w:val="00DE6568"/>
    <w:rsid w:val="00DE7344"/>
    <w:rsid w:val="00DE7740"/>
    <w:rsid w:val="00DF0C68"/>
    <w:rsid w:val="00DF5416"/>
    <w:rsid w:val="00DF5659"/>
    <w:rsid w:val="00DF6BEE"/>
    <w:rsid w:val="00DF79E8"/>
    <w:rsid w:val="00DF7A77"/>
    <w:rsid w:val="00E0044A"/>
    <w:rsid w:val="00E004A4"/>
    <w:rsid w:val="00E0270D"/>
    <w:rsid w:val="00E054F7"/>
    <w:rsid w:val="00E06AFB"/>
    <w:rsid w:val="00E0752C"/>
    <w:rsid w:val="00E11CBC"/>
    <w:rsid w:val="00E11FB2"/>
    <w:rsid w:val="00E124B0"/>
    <w:rsid w:val="00E12E97"/>
    <w:rsid w:val="00E13FEB"/>
    <w:rsid w:val="00E144A9"/>
    <w:rsid w:val="00E14758"/>
    <w:rsid w:val="00E175CA"/>
    <w:rsid w:val="00E17847"/>
    <w:rsid w:val="00E17EF8"/>
    <w:rsid w:val="00E20D41"/>
    <w:rsid w:val="00E20F24"/>
    <w:rsid w:val="00E211DA"/>
    <w:rsid w:val="00E218FF"/>
    <w:rsid w:val="00E21D26"/>
    <w:rsid w:val="00E2236E"/>
    <w:rsid w:val="00E2387A"/>
    <w:rsid w:val="00E2451D"/>
    <w:rsid w:val="00E3034F"/>
    <w:rsid w:val="00E314DE"/>
    <w:rsid w:val="00E35171"/>
    <w:rsid w:val="00E35D50"/>
    <w:rsid w:val="00E37A7C"/>
    <w:rsid w:val="00E37DA0"/>
    <w:rsid w:val="00E40DC9"/>
    <w:rsid w:val="00E40F7D"/>
    <w:rsid w:val="00E41DCA"/>
    <w:rsid w:val="00E41F89"/>
    <w:rsid w:val="00E421C1"/>
    <w:rsid w:val="00E44EB2"/>
    <w:rsid w:val="00E46577"/>
    <w:rsid w:val="00E50A32"/>
    <w:rsid w:val="00E51D10"/>
    <w:rsid w:val="00E52A41"/>
    <w:rsid w:val="00E531BB"/>
    <w:rsid w:val="00E53530"/>
    <w:rsid w:val="00E547C0"/>
    <w:rsid w:val="00E56308"/>
    <w:rsid w:val="00E56B8E"/>
    <w:rsid w:val="00E57096"/>
    <w:rsid w:val="00E60143"/>
    <w:rsid w:val="00E60428"/>
    <w:rsid w:val="00E61173"/>
    <w:rsid w:val="00E62FED"/>
    <w:rsid w:val="00E63D42"/>
    <w:rsid w:val="00E65C91"/>
    <w:rsid w:val="00E66BDF"/>
    <w:rsid w:val="00E70CE2"/>
    <w:rsid w:val="00E72063"/>
    <w:rsid w:val="00E7220B"/>
    <w:rsid w:val="00E72533"/>
    <w:rsid w:val="00E74F9F"/>
    <w:rsid w:val="00E75BAA"/>
    <w:rsid w:val="00E76511"/>
    <w:rsid w:val="00E77E2A"/>
    <w:rsid w:val="00E80E4C"/>
    <w:rsid w:val="00E8152E"/>
    <w:rsid w:val="00E81F3C"/>
    <w:rsid w:val="00E826C9"/>
    <w:rsid w:val="00E82AB0"/>
    <w:rsid w:val="00E84183"/>
    <w:rsid w:val="00E85E20"/>
    <w:rsid w:val="00E87146"/>
    <w:rsid w:val="00E9107F"/>
    <w:rsid w:val="00E91E08"/>
    <w:rsid w:val="00E92497"/>
    <w:rsid w:val="00E926D3"/>
    <w:rsid w:val="00E94DBE"/>
    <w:rsid w:val="00E954E3"/>
    <w:rsid w:val="00E955DB"/>
    <w:rsid w:val="00E95D28"/>
    <w:rsid w:val="00E96B91"/>
    <w:rsid w:val="00EA15DB"/>
    <w:rsid w:val="00EA352B"/>
    <w:rsid w:val="00EA653B"/>
    <w:rsid w:val="00EB0F3A"/>
    <w:rsid w:val="00EB1B17"/>
    <w:rsid w:val="00EB241E"/>
    <w:rsid w:val="00EB5A67"/>
    <w:rsid w:val="00EB7C9F"/>
    <w:rsid w:val="00EC1CF7"/>
    <w:rsid w:val="00EC43CF"/>
    <w:rsid w:val="00EC5213"/>
    <w:rsid w:val="00EC5A65"/>
    <w:rsid w:val="00EC5FB9"/>
    <w:rsid w:val="00EC5FD0"/>
    <w:rsid w:val="00EC687C"/>
    <w:rsid w:val="00ED03E8"/>
    <w:rsid w:val="00ED0D7B"/>
    <w:rsid w:val="00ED2305"/>
    <w:rsid w:val="00ED73D0"/>
    <w:rsid w:val="00EE518D"/>
    <w:rsid w:val="00EE5C04"/>
    <w:rsid w:val="00EF0C35"/>
    <w:rsid w:val="00EF28A7"/>
    <w:rsid w:val="00EF604E"/>
    <w:rsid w:val="00EF7047"/>
    <w:rsid w:val="00F02187"/>
    <w:rsid w:val="00F058DC"/>
    <w:rsid w:val="00F10D2B"/>
    <w:rsid w:val="00F1107E"/>
    <w:rsid w:val="00F128BB"/>
    <w:rsid w:val="00F12D9C"/>
    <w:rsid w:val="00F140EC"/>
    <w:rsid w:val="00F15849"/>
    <w:rsid w:val="00F16D30"/>
    <w:rsid w:val="00F219F4"/>
    <w:rsid w:val="00F22446"/>
    <w:rsid w:val="00F242FC"/>
    <w:rsid w:val="00F25023"/>
    <w:rsid w:val="00F26A00"/>
    <w:rsid w:val="00F26D9A"/>
    <w:rsid w:val="00F30313"/>
    <w:rsid w:val="00F31034"/>
    <w:rsid w:val="00F310DC"/>
    <w:rsid w:val="00F355F7"/>
    <w:rsid w:val="00F3600F"/>
    <w:rsid w:val="00F40E77"/>
    <w:rsid w:val="00F4171A"/>
    <w:rsid w:val="00F4385C"/>
    <w:rsid w:val="00F43BB8"/>
    <w:rsid w:val="00F47BDE"/>
    <w:rsid w:val="00F505DD"/>
    <w:rsid w:val="00F51AF1"/>
    <w:rsid w:val="00F537A5"/>
    <w:rsid w:val="00F550EC"/>
    <w:rsid w:val="00F554F7"/>
    <w:rsid w:val="00F55C56"/>
    <w:rsid w:val="00F56C86"/>
    <w:rsid w:val="00F56D79"/>
    <w:rsid w:val="00F57BCC"/>
    <w:rsid w:val="00F60344"/>
    <w:rsid w:val="00F62C27"/>
    <w:rsid w:val="00F64242"/>
    <w:rsid w:val="00F66B92"/>
    <w:rsid w:val="00F708B0"/>
    <w:rsid w:val="00F723E0"/>
    <w:rsid w:val="00F753E2"/>
    <w:rsid w:val="00F75C5F"/>
    <w:rsid w:val="00F77429"/>
    <w:rsid w:val="00F77D69"/>
    <w:rsid w:val="00F80A87"/>
    <w:rsid w:val="00F842D3"/>
    <w:rsid w:val="00F9032E"/>
    <w:rsid w:val="00F9170C"/>
    <w:rsid w:val="00F9340A"/>
    <w:rsid w:val="00F946EC"/>
    <w:rsid w:val="00F94D5C"/>
    <w:rsid w:val="00F96AE4"/>
    <w:rsid w:val="00F96C8C"/>
    <w:rsid w:val="00F97CBC"/>
    <w:rsid w:val="00FA1CF3"/>
    <w:rsid w:val="00FA21D4"/>
    <w:rsid w:val="00FA2F3E"/>
    <w:rsid w:val="00FA52D4"/>
    <w:rsid w:val="00FA5DC6"/>
    <w:rsid w:val="00FA60B6"/>
    <w:rsid w:val="00FB2D7D"/>
    <w:rsid w:val="00FB3DBA"/>
    <w:rsid w:val="00FB6064"/>
    <w:rsid w:val="00FB66C9"/>
    <w:rsid w:val="00FC1DB1"/>
    <w:rsid w:val="00FC3294"/>
    <w:rsid w:val="00FC5C2F"/>
    <w:rsid w:val="00FC6C6C"/>
    <w:rsid w:val="00FD1DE0"/>
    <w:rsid w:val="00FD4D53"/>
    <w:rsid w:val="00FD78E9"/>
    <w:rsid w:val="00FE01B1"/>
    <w:rsid w:val="00FE14B4"/>
    <w:rsid w:val="00FE15B1"/>
    <w:rsid w:val="00FE3827"/>
    <w:rsid w:val="00FE39CC"/>
    <w:rsid w:val="00FE5187"/>
    <w:rsid w:val="00FE5C82"/>
    <w:rsid w:val="00FF03C5"/>
    <w:rsid w:val="00FF435C"/>
    <w:rsid w:val="00FF4588"/>
    <w:rsid w:val="00FF5924"/>
    <w:rsid w:val="00FF642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CF2DB5"/>
  <w15:chartTrackingRefBased/>
  <w15:docId w15:val="{E6152D1A-73FB-4444-B187-CA12C6D10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4385"/>
  </w:style>
  <w:style w:type="paragraph" w:styleId="Heading1">
    <w:name w:val="heading 1"/>
    <w:basedOn w:val="Normal"/>
    <w:next w:val="Normal"/>
    <w:link w:val="Heading1Char"/>
    <w:autoRedefine/>
    <w:uiPriority w:val="9"/>
    <w:qFormat/>
    <w:rsid w:val="007603E6"/>
    <w:pPr>
      <w:keepNext/>
      <w:keepLines/>
      <w:shd w:val="clear" w:color="auto" w:fill="FFFFFF" w:themeFill="background1"/>
      <w:spacing w:before="120" w:after="120" w:line="276" w:lineRule="auto"/>
      <w:jc w:val="center"/>
      <w:outlineLvl w:val="0"/>
    </w:pPr>
    <w:rPr>
      <w:rFonts w:ascii="Bookman Old Style" w:hAnsi="Bookman Old Style" w:cstheme="majorBidi"/>
      <w:b/>
      <w:color w:val="0070C0"/>
      <w:sz w:val="28"/>
      <w:szCs w:val="28"/>
    </w:rPr>
  </w:style>
  <w:style w:type="paragraph" w:styleId="Heading2">
    <w:name w:val="heading 2"/>
    <w:basedOn w:val="Normal"/>
    <w:next w:val="Normal"/>
    <w:link w:val="Heading2Char"/>
    <w:uiPriority w:val="9"/>
    <w:unhideWhenUsed/>
    <w:qFormat/>
    <w:rsid w:val="002A7796"/>
    <w:pPr>
      <w:keepNext/>
      <w:keepLines/>
      <w:spacing w:before="160" w:after="120"/>
      <w:outlineLvl w:val="1"/>
    </w:pPr>
    <w:rPr>
      <w:rFonts w:ascii="Bookman Old Style" w:eastAsiaTheme="majorEastAsia" w:hAnsi="Bookman Old Style" w:cstheme="majorBidi"/>
      <w:b/>
      <w:color w:val="ED7D31" w:themeColor="accent2"/>
      <w:sz w:val="24"/>
      <w:szCs w:val="26"/>
    </w:rPr>
  </w:style>
  <w:style w:type="paragraph" w:styleId="Heading3">
    <w:name w:val="heading 3"/>
    <w:basedOn w:val="Normal"/>
    <w:next w:val="Normal"/>
    <w:link w:val="Heading3Char"/>
    <w:uiPriority w:val="9"/>
    <w:unhideWhenUsed/>
    <w:qFormat/>
    <w:rsid w:val="00BA2A8F"/>
    <w:pPr>
      <w:keepNext/>
      <w:keepLines/>
      <w:spacing w:before="40" w:after="0" w:line="360" w:lineRule="auto"/>
      <w:outlineLvl w:val="2"/>
    </w:pPr>
    <w:rPr>
      <w:rFonts w:ascii="Bookman Old Style" w:eastAsiaTheme="majorEastAsia" w:hAnsi="Bookman Old Style" w:cstheme="majorBidi"/>
      <w:b/>
      <w:color w:val="ED7D31" w:themeColor="accent2"/>
      <w:sz w:val="24"/>
      <w:szCs w:val="24"/>
    </w:rPr>
  </w:style>
  <w:style w:type="paragraph" w:styleId="Heading5">
    <w:name w:val="heading 5"/>
    <w:basedOn w:val="Normal"/>
    <w:next w:val="Normal"/>
    <w:link w:val="Heading5Char"/>
    <w:uiPriority w:val="9"/>
    <w:semiHidden/>
    <w:unhideWhenUsed/>
    <w:qFormat/>
    <w:rsid w:val="00C3324D"/>
    <w:pPr>
      <w:keepNext/>
      <w:keepLines/>
      <w:spacing w:before="40" w:after="0" w:line="240" w:lineRule="auto"/>
      <w:outlineLvl w:val="4"/>
    </w:pPr>
    <w:rPr>
      <w:rFonts w:asciiTheme="majorHAnsi" w:eastAsiaTheme="majorEastAsia" w:hAnsiTheme="majorHAnsi" w:cstheme="majorBidi"/>
      <w:color w:val="2F5496" w:themeColor="accent1" w:themeShade="BF"/>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03E6"/>
    <w:rPr>
      <w:rFonts w:ascii="Bookman Old Style" w:hAnsi="Bookman Old Style" w:cstheme="majorBidi"/>
      <w:b/>
      <w:color w:val="0070C0"/>
      <w:sz w:val="28"/>
      <w:szCs w:val="28"/>
      <w:shd w:val="clear" w:color="auto" w:fill="FFFFFF" w:themeFill="background1"/>
    </w:rPr>
  </w:style>
  <w:style w:type="character" w:customStyle="1" w:styleId="Heading2Char">
    <w:name w:val="Heading 2 Char"/>
    <w:basedOn w:val="DefaultParagraphFont"/>
    <w:link w:val="Heading2"/>
    <w:uiPriority w:val="9"/>
    <w:rsid w:val="002A7796"/>
    <w:rPr>
      <w:rFonts w:ascii="Bookman Old Style" w:eastAsiaTheme="majorEastAsia" w:hAnsi="Bookman Old Style" w:cstheme="majorBidi"/>
      <w:b/>
      <w:color w:val="ED7D31" w:themeColor="accent2"/>
      <w:sz w:val="24"/>
      <w:szCs w:val="26"/>
    </w:rPr>
  </w:style>
  <w:style w:type="character" w:customStyle="1" w:styleId="Heading3Char">
    <w:name w:val="Heading 3 Char"/>
    <w:basedOn w:val="DefaultParagraphFont"/>
    <w:link w:val="Heading3"/>
    <w:uiPriority w:val="9"/>
    <w:rsid w:val="00BA2A8F"/>
    <w:rPr>
      <w:rFonts w:ascii="Bookman Old Style" w:eastAsiaTheme="majorEastAsia" w:hAnsi="Bookman Old Style" w:cstheme="majorBidi"/>
      <w:b/>
      <w:color w:val="ED7D31" w:themeColor="accent2"/>
      <w:sz w:val="24"/>
      <w:szCs w:val="24"/>
    </w:rPr>
  </w:style>
  <w:style w:type="table" w:styleId="TableGrid">
    <w:name w:val="Table Grid"/>
    <w:basedOn w:val="TableNormal"/>
    <w:uiPriority w:val="39"/>
    <w:rsid w:val="002D5A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D5A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5ADD"/>
  </w:style>
  <w:style w:type="paragraph" w:styleId="Footer">
    <w:name w:val="footer"/>
    <w:basedOn w:val="Normal"/>
    <w:link w:val="FooterChar"/>
    <w:uiPriority w:val="99"/>
    <w:unhideWhenUsed/>
    <w:rsid w:val="002D5A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5ADD"/>
  </w:style>
  <w:style w:type="paragraph" w:styleId="NormalWeb">
    <w:name w:val="Normal (Web)"/>
    <w:basedOn w:val="Normal"/>
    <w:uiPriority w:val="99"/>
    <w:unhideWhenUsed/>
    <w:rsid w:val="008210E8"/>
    <w:pPr>
      <w:spacing w:after="225"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944A8"/>
    <w:rPr>
      <w:b/>
      <w:bCs/>
    </w:rPr>
  </w:style>
  <w:style w:type="character" w:styleId="Emphasis">
    <w:name w:val="Emphasis"/>
    <w:basedOn w:val="DefaultParagraphFont"/>
    <w:uiPriority w:val="20"/>
    <w:qFormat/>
    <w:rsid w:val="00B918E3"/>
    <w:rPr>
      <w:i/>
      <w:iCs/>
    </w:rPr>
  </w:style>
  <w:style w:type="paragraph" w:styleId="NoSpacing">
    <w:name w:val="No Spacing"/>
    <w:link w:val="NoSpacingChar"/>
    <w:uiPriority w:val="1"/>
    <w:qFormat/>
    <w:rsid w:val="00720190"/>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720190"/>
    <w:rPr>
      <w:rFonts w:ascii="Calibri" w:eastAsia="Times New Roman" w:hAnsi="Calibri" w:cs="Times New Roman"/>
    </w:rPr>
  </w:style>
  <w:style w:type="paragraph" w:customStyle="1" w:styleId="NoSpacing1">
    <w:name w:val="No Spacing1"/>
    <w:uiPriority w:val="1"/>
    <w:qFormat/>
    <w:rsid w:val="00720190"/>
    <w:pPr>
      <w:spacing w:after="0" w:line="240" w:lineRule="auto"/>
    </w:pPr>
    <w:rPr>
      <w:rFonts w:ascii="Calibri" w:eastAsia="Times New Roman" w:hAnsi="Calibri" w:cs="Times New Roman"/>
    </w:rPr>
  </w:style>
  <w:style w:type="paragraph" w:styleId="ListParagraph">
    <w:name w:val="List Paragraph"/>
    <w:aliases w:val="AB List 1,Bullet Points,ProcessA,Paragraphe de liste,Liste couleur - Accent 1,Liste couleur - Accent 14,List Bulet,Puces,References,- List tir,List Bullet Mary,NUMBERED PARAGRAPH,List Paragraph 1,List Paragraph (numbered (a)),lp1,Bullets"/>
    <w:basedOn w:val="Normal"/>
    <w:link w:val="ListParagraphChar"/>
    <w:uiPriority w:val="34"/>
    <w:qFormat/>
    <w:rsid w:val="00CC6737"/>
    <w:pPr>
      <w:spacing w:after="0" w:line="240" w:lineRule="auto"/>
      <w:ind w:left="720"/>
      <w:contextualSpacing/>
    </w:pPr>
    <w:rPr>
      <w:rFonts w:ascii="Times New Roman" w:eastAsia="Times New Roman" w:hAnsi="Times New Roman" w:cs="Times New Roman"/>
      <w:sz w:val="24"/>
      <w:szCs w:val="24"/>
    </w:rPr>
  </w:style>
  <w:style w:type="character" w:customStyle="1" w:styleId="ListParagraphChar">
    <w:name w:val="List Paragraph Char"/>
    <w:aliases w:val="AB List 1 Char,Bullet Points Char,ProcessA Char,Paragraphe de liste Char,Liste couleur - Accent 1 Char,Liste couleur - Accent 14 Char,List Bulet Char,Puces Char,References Char,- List tir Char,List Bullet Mary Char,lp1 Char"/>
    <w:link w:val="ListParagraph"/>
    <w:uiPriority w:val="34"/>
    <w:qFormat/>
    <w:rsid w:val="00DF6BEE"/>
    <w:rPr>
      <w:rFonts w:ascii="Times New Roman" w:eastAsia="Times New Roman" w:hAnsi="Times New Roman" w:cs="Times New Roman"/>
      <w:sz w:val="24"/>
      <w:szCs w:val="24"/>
    </w:rPr>
  </w:style>
  <w:style w:type="paragraph" w:styleId="FootnoteText">
    <w:name w:val="footnote text"/>
    <w:aliases w:val="single space,FOOTNOTES,fn,footnote text,Footnote Text Char1,Footnote Text Char Char,Footnote Text 1,Footnote,Footnote Text qer,f,Footnote Text Char2 Char,Footnote Text Char1 Char Char,Footnote Text Char2 Char Char Char,ALTS FOOTNOTE,ft,ADB"/>
    <w:basedOn w:val="Normal"/>
    <w:link w:val="FootnoteTextChar"/>
    <w:uiPriority w:val="99"/>
    <w:unhideWhenUsed/>
    <w:qFormat/>
    <w:rsid w:val="00DF6BEE"/>
    <w:pPr>
      <w:spacing w:after="0" w:line="240" w:lineRule="auto"/>
    </w:pPr>
    <w:rPr>
      <w:sz w:val="20"/>
      <w:szCs w:val="20"/>
    </w:rPr>
  </w:style>
  <w:style w:type="character" w:customStyle="1" w:styleId="FootnoteTextChar">
    <w:name w:val="Footnote Text Char"/>
    <w:aliases w:val="single space Char,FOOTNOTES Char,fn Char,footnote text Char,Footnote Text Char1 Char,Footnote Text Char Char Char,Footnote Text 1 Char,Footnote Char,Footnote Text qer Char,f Char,Footnote Text Char2 Char Char,ALTS FOOTNOTE Char"/>
    <w:basedOn w:val="DefaultParagraphFont"/>
    <w:link w:val="FootnoteText"/>
    <w:uiPriority w:val="99"/>
    <w:rsid w:val="00DF6BEE"/>
    <w:rPr>
      <w:sz w:val="20"/>
      <w:szCs w:val="20"/>
    </w:rPr>
  </w:style>
  <w:style w:type="character" w:styleId="FootnoteReference">
    <w:name w:val="footnote reference"/>
    <w:aliases w:val="ftref,Error-Fußnotenzeichen5,Error-Fußnotenzeichen6,Error-Fußnotenzeichen3,Footnote Reference1,BVI fnr,Footnote Reference Number,Footnote Reference_LVL6,Footnote Reference_LVL61,Footnote Reference_LVL62,Footnote Reference_LVL63,fr,Ref"/>
    <w:basedOn w:val="DefaultParagraphFont"/>
    <w:link w:val="CharChar1CharCharCharChar1CharCharCharCharCharCharCharChar"/>
    <w:uiPriority w:val="99"/>
    <w:unhideWhenUsed/>
    <w:qFormat/>
    <w:rsid w:val="00DF6BEE"/>
    <w:rPr>
      <w:vertAlign w:val="superscript"/>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uiPriority w:val="99"/>
    <w:rsid w:val="00DF6BEE"/>
    <w:pPr>
      <w:spacing w:line="240" w:lineRule="exact"/>
    </w:pPr>
    <w:rPr>
      <w:vertAlign w:val="superscript"/>
    </w:rPr>
  </w:style>
  <w:style w:type="paragraph" w:styleId="Caption">
    <w:name w:val="caption"/>
    <w:aliases w:val="Caption Char2,Caption Char1 Char,Caption Char Char Char1,Caption Char Char1,Caption Char Char Char Char,Caption Char Char Char,Caption1 Char,Caption1,Table title,Figure Head,Table,LVT Table Heading,WB Caption,AICD,quarterly chart caption"/>
    <w:basedOn w:val="Normal"/>
    <w:next w:val="Normal"/>
    <w:link w:val="CaptionChar"/>
    <w:uiPriority w:val="35"/>
    <w:unhideWhenUsed/>
    <w:qFormat/>
    <w:rsid w:val="008B6B6D"/>
    <w:pPr>
      <w:keepNext/>
      <w:keepLines/>
      <w:spacing w:after="40" w:line="240" w:lineRule="auto"/>
    </w:pPr>
    <w:rPr>
      <w:rFonts w:ascii="Bookman Old Style" w:hAnsi="Bookman Old Style"/>
      <w:b/>
      <w:bCs/>
      <w:color w:val="323E4F" w:themeColor="text2" w:themeShade="BF"/>
      <w:sz w:val="20"/>
      <w:szCs w:val="18"/>
    </w:rPr>
  </w:style>
  <w:style w:type="character" w:customStyle="1" w:styleId="CaptionChar">
    <w:name w:val="Caption Char"/>
    <w:aliases w:val="Caption Char2 Char,Caption Char1 Char Char,Caption Char Char Char1 Char,Caption Char Char1 Char,Caption Char Char Char Char Char,Caption Char Char Char Char1,Caption1 Char Char,Caption1 Char1,Table title Char,Figure Head Char,Table Char"/>
    <w:basedOn w:val="DefaultParagraphFont"/>
    <w:link w:val="Caption"/>
    <w:uiPriority w:val="35"/>
    <w:locked/>
    <w:rsid w:val="008B6B6D"/>
    <w:rPr>
      <w:rFonts w:ascii="Bookman Old Style" w:hAnsi="Bookman Old Style"/>
      <w:b/>
      <w:bCs/>
      <w:color w:val="323E4F" w:themeColor="text2" w:themeShade="BF"/>
      <w:sz w:val="20"/>
      <w:szCs w:val="18"/>
    </w:rPr>
  </w:style>
  <w:style w:type="table" w:customStyle="1" w:styleId="TableGrid1">
    <w:name w:val="Table Grid1"/>
    <w:basedOn w:val="TableNormal"/>
    <w:next w:val="TableGrid"/>
    <w:uiPriority w:val="59"/>
    <w:rsid w:val="00B54B8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ory-body-text">
    <w:name w:val="story-body-text"/>
    <w:basedOn w:val="Normal"/>
    <w:rsid w:val="00D7440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E14758"/>
    <w:pPr>
      <w:autoSpaceDE w:val="0"/>
      <w:autoSpaceDN w:val="0"/>
      <w:adjustRightInd w:val="0"/>
      <w:spacing w:after="0" w:line="240" w:lineRule="auto"/>
    </w:pPr>
    <w:rPr>
      <w:rFonts w:ascii="Cambria" w:hAnsi="Cambria" w:cs="Cambria"/>
      <w:color w:val="000000"/>
      <w:sz w:val="24"/>
      <w:szCs w:val="24"/>
    </w:rPr>
  </w:style>
  <w:style w:type="paragraph" w:customStyle="1" w:styleId="Pa15">
    <w:name w:val="Pa15"/>
    <w:basedOn w:val="Default"/>
    <w:next w:val="Default"/>
    <w:uiPriority w:val="99"/>
    <w:rsid w:val="00E14758"/>
    <w:pPr>
      <w:spacing w:line="401" w:lineRule="atLeast"/>
    </w:pPr>
    <w:rPr>
      <w:rFonts w:ascii="Frutiger CE 45 Light" w:hAnsi="Frutiger CE 45 Light" w:cstheme="minorBidi"/>
      <w:color w:val="auto"/>
    </w:rPr>
  </w:style>
  <w:style w:type="paragraph" w:customStyle="1" w:styleId="Pa1">
    <w:name w:val="Pa1"/>
    <w:basedOn w:val="Default"/>
    <w:next w:val="Default"/>
    <w:uiPriority w:val="99"/>
    <w:rsid w:val="00E14758"/>
    <w:pPr>
      <w:spacing w:line="191" w:lineRule="atLeast"/>
    </w:pPr>
    <w:rPr>
      <w:rFonts w:ascii="Frutiger CE 45 Light" w:hAnsi="Frutiger CE 45 Light" w:cstheme="minorBidi"/>
      <w:color w:val="auto"/>
    </w:rPr>
  </w:style>
  <w:style w:type="character" w:customStyle="1" w:styleId="tgc">
    <w:name w:val="_tgc"/>
    <w:basedOn w:val="DefaultParagraphFont"/>
    <w:rsid w:val="00E14758"/>
  </w:style>
  <w:style w:type="paragraph" w:styleId="EndnoteText">
    <w:name w:val="endnote text"/>
    <w:basedOn w:val="Normal"/>
    <w:link w:val="EndnoteTextChar"/>
    <w:uiPriority w:val="99"/>
    <w:semiHidden/>
    <w:unhideWhenUsed/>
    <w:rsid w:val="00E1475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14758"/>
    <w:rPr>
      <w:sz w:val="20"/>
      <w:szCs w:val="20"/>
    </w:rPr>
  </w:style>
  <w:style w:type="character" w:styleId="EndnoteReference">
    <w:name w:val="endnote reference"/>
    <w:basedOn w:val="DefaultParagraphFont"/>
    <w:uiPriority w:val="99"/>
    <w:semiHidden/>
    <w:unhideWhenUsed/>
    <w:rsid w:val="00E14758"/>
    <w:rPr>
      <w:vertAlign w:val="superscript"/>
    </w:rPr>
  </w:style>
  <w:style w:type="character" w:customStyle="1" w:styleId="A4">
    <w:name w:val="A4"/>
    <w:uiPriority w:val="99"/>
    <w:rsid w:val="005B4AA7"/>
    <w:rPr>
      <w:rFonts w:cs="HelveticaNeueLT Pro 65 Md"/>
      <w:color w:val="000000"/>
      <w:sz w:val="20"/>
      <w:szCs w:val="20"/>
    </w:rPr>
  </w:style>
  <w:style w:type="character" w:styleId="IntenseReference">
    <w:name w:val="Intense Reference"/>
    <w:basedOn w:val="DefaultParagraphFont"/>
    <w:uiPriority w:val="32"/>
    <w:qFormat/>
    <w:rsid w:val="00C82D47"/>
    <w:rPr>
      <w:b/>
      <w:bCs/>
      <w:smallCaps/>
      <w:color w:val="4472C4" w:themeColor="accent1"/>
      <w:spacing w:val="5"/>
    </w:rPr>
  </w:style>
  <w:style w:type="paragraph" w:styleId="TOCHeading">
    <w:name w:val="TOC Heading"/>
    <w:basedOn w:val="Heading1"/>
    <w:next w:val="Normal"/>
    <w:uiPriority w:val="39"/>
    <w:unhideWhenUsed/>
    <w:qFormat/>
    <w:rsid w:val="00C82D47"/>
    <w:pPr>
      <w:spacing w:before="240" w:line="259" w:lineRule="auto"/>
      <w:outlineLvl w:val="9"/>
    </w:pPr>
    <w:rPr>
      <w:rFonts w:asciiTheme="majorHAnsi" w:eastAsiaTheme="majorEastAsia" w:hAnsiTheme="majorHAnsi"/>
      <w:b w:val="0"/>
      <w:color w:val="2F5496" w:themeColor="accent1" w:themeShade="BF"/>
      <w:sz w:val="32"/>
      <w:szCs w:val="32"/>
    </w:rPr>
  </w:style>
  <w:style w:type="paragraph" w:styleId="TOC1">
    <w:name w:val="toc 1"/>
    <w:basedOn w:val="Normal"/>
    <w:next w:val="Normal"/>
    <w:autoRedefine/>
    <w:uiPriority w:val="39"/>
    <w:unhideWhenUsed/>
    <w:rsid w:val="00C82D47"/>
    <w:pPr>
      <w:spacing w:after="100"/>
    </w:pPr>
  </w:style>
  <w:style w:type="character" w:styleId="Hyperlink">
    <w:name w:val="Hyperlink"/>
    <w:basedOn w:val="DefaultParagraphFont"/>
    <w:uiPriority w:val="99"/>
    <w:unhideWhenUsed/>
    <w:rsid w:val="00C82D47"/>
    <w:rPr>
      <w:color w:val="0563C1" w:themeColor="hyperlink"/>
      <w:u w:val="single"/>
    </w:rPr>
  </w:style>
  <w:style w:type="paragraph" w:styleId="TOC2">
    <w:name w:val="toc 2"/>
    <w:basedOn w:val="Normal"/>
    <w:next w:val="Normal"/>
    <w:autoRedefine/>
    <w:uiPriority w:val="39"/>
    <w:unhideWhenUsed/>
    <w:rsid w:val="00E84183"/>
    <w:pPr>
      <w:spacing w:after="100"/>
      <w:ind w:left="220"/>
    </w:pPr>
  </w:style>
  <w:style w:type="paragraph" w:styleId="TOC3">
    <w:name w:val="toc 3"/>
    <w:basedOn w:val="Normal"/>
    <w:next w:val="Normal"/>
    <w:autoRedefine/>
    <w:uiPriority w:val="39"/>
    <w:unhideWhenUsed/>
    <w:rsid w:val="00E84183"/>
    <w:pPr>
      <w:spacing w:after="100"/>
      <w:ind w:left="440"/>
    </w:pPr>
  </w:style>
  <w:style w:type="paragraph" w:styleId="TableofFigures">
    <w:name w:val="table of figures"/>
    <w:basedOn w:val="Normal"/>
    <w:next w:val="Normal"/>
    <w:uiPriority w:val="99"/>
    <w:unhideWhenUsed/>
    <w:rsid w:val="00E21D26"/>
    <w:pPr>
      <w:spacing w:after="0"/>
    </w:pPr>
  </w:style>
  <w:style w:type="paragraph" w:styleId="BalloonText">
    <w:name w:val="Balloon Text"/>
    <w:basedOn w:val="Normal"/>
    <w:link w:val="BalloonTextChar"/>
    <w:uiPriority w:val="99"/>
    <w:semiHidden/>
    <w:unhideWhenUsed/>
    <w:rsid w:val="007A0CCB"/>
    <w:pPr>
      <w:spacing w:after="0"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7A0CCB"/>
    <w:rPr>
      <w:rFonts w:ascii="Segoe UI" w:eastAsia="Calibri" w:hAnsi="Segoe UI" w:cs="Segoe UI"/>
      <w:sz w:val="18"/>
      <w:szCs w:val="18"/>
    </w:rPr>
  </w:style>
  <w:style w:type="character" w:customStyle="1" w:styleId="Heading5Char">
    <w:name w:val="Heading 5 Char"/>
    <w:basedOn w:val="DefaultParagraphFont"/>
    <w:link w:val="Heading5"/>
    <w:uiPriority w:val="9"/>
    <w:semiHidden/>
    <w:rsid w:val="00C3324D"/>
    <w:rPr>
      <w:rFonts w:asciiTheme="majorHAnsi" w:eastAsiaTheme="majorEastAsia" w:hAnsiTheme="majorHAnsi" w:cstheme="majorBidi"/>
      <w:color w:val="2F5496" w:themeColor="accent1" w:themeShade="BF"/>
      <w:sz w:val="24"/>
      <w:szCs w:val="20"/>
    </w:rPr>
  </w:style>
  <w:style w:type="paragraph" w:customStyle="1" w:styleId="FSAheading1">
    <w:name w:val="FSAheading1"/>
    <w:basedOn w:val="Heading1"/>
    <w:link w:val="FSAheading1Char"/>
    <w:qFormat/>
    <w:rsid w:val="00C3324D"/>
    <w:pPr>
      <w:keepLines w:val="0"/>
      <w:numPr>
        <w:numId w:val="9"/>
      </w:numPr>
      <w:shd w:val="clear" w:color="auto" w:fill="auto"/>
      <w:spacing w:after="240" w:line="240" w:lineRule="auto"/>
    </w:pPr>
    <w:rPr>
      <w:rFonts w:ascii="Times New Roman" w:eastAsia="Times New Roman" w:hAnsi="Times New Roman" w:cs="Arial"/>
      <w:bCs/>
      <w:smallCaps/>
      <w:color w:val="2F5496" w:themeColor="accent1" w:themeShade="BF"/>
      <w:kern w:val="28"/>
      <w:sz w:val="24"/>
      <w:szCs w:val="32"/>
    </w:rPr>
  </w:style>
  <w:style w:type="character" w:customStyle="1" w:styleId="FSAheading1Char">
    <w:name w:val="FSAheading1 Char"/>
    <w:basedOn w:val="Heading1Char"/>
    <w:link w:val="FSAheading1"/>
    <w:rsid w:val="00C3324D"/>
    <w:rPr>
      <w:rFonts w:ascii="Times New Roman" w:eastAsia="Times New Roman" w:hAnsi="Times New Roman" w:cs="Arial"/>
      <w:b/>
      <w:bCs/>
      <w:smallCaps/>
      <w:color w:val="2F5496" w:themeColor="accent1" w:themeShade="BF"/>
      <w:kern w:val="28"/>
      <w:sz w:val="24"/>
      <w:szCs w:val="32"/>
      <w:shd w:val="clear" w:color="auto" w:fill="FFC000" w:themeFill="accent4"/>
    </w:rPr>
  </w:style>
  <w:style w:type="paragraph" w:customStyle="1" w:styleId="Fighead">
    <w:name w:val="Fighead"/>
    <w:basedOn w:val="Normal"/>
    <w:qFormat/>
    <w:rsid w:val="00C3324D"/>
    <w:pPr>
      <w:spacing w:after="0" w:line="240" w:lineRule="auto"/>
      <w:jc w:val="both"/>
    </w:pPr>
    <w:rPr>
      <w:rFonts w:ascii="Times New Roman" w:eastAsia="Times New Roman" w:hAnsi="Times New Roman"/>
      <w:b/>
      <w:sz w:val="24"/>
      <w:lang w:eastAsia="es-ES"/>
    </w:rPr>
  </w:style>
  <w:style w:type="character" w:styleId="CommentReference">
    <w:name w:val="annotation reference"/>
    <w:basedOn w:val="DefaultParagraphFont"/>
    <w:uiPriority w:val="99"/>
    <w:semiHidden/>
    <w:unhideWhenUsed/>
    <w:rsid w:val="00C3324D"/>
    <w:rPr>
      <w:sz w:val="16"/>
      <w:szCs w:val="16"/>
    </w:rPr>
  </w:style>
  <w:style w:type="paragraph" w:styleId="CommentText">
    <w:name w:val="annotation text"/>
    <w:basedOn w:val="Normal"/>
    <w:link w:val="CommentTextChar"/>
    <w:uiPriority w:val="99"/>
    <w:semiHidden/>
    <w:unhideWhenUsed/>
    <w:rsid w:val="00C3324D"/>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C3324D"/>
    <w:rPr>
      <w:rFonts w:ascii="Times New Roman" w:eastAsia="Times New Roman" w:hAnsi="Times New Roman" w:cs="Times New Roman"/>
      <w:sz w:val="20"/>
      <w:szCs w:val="20"/>
    </w:rPr>
  </w:style>
  <w:style w:type="character" w:customStyle="1" w:styleId="CommentSubjectChar">
    <w:name w:val="Comment Subject Char"/>
    <w:basedOn w:val="CommentTextChar"/>
    <w:link w:val="CommentSubject"/>
    <w:uiPriority w:val="99"/>
    <w:semiHidden/>
    <w:rsid w:val="00C3324D"/>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C3324D"/>
    <w:rPr>
      <w:b/>
      <w:bCs/>
    </w:rPr>
  </w:style>
  <w:style w:type="paragraph" w:customStyle="1" w:styleId="FSAparagraph">
    <w:name w:val="FSAparagraph"/>
    <w:basedOn w:val="Normal"/>
    <w:link w:val="FSAparagraphChar"/>
    <w:qFormat/>
    <w:rsid w:val="00C3324D"/>
    <w:pPr>
      <w:numPr>
        <w:numId w:val="12"/>
      </w:numPr>
      <w:tabs>
        <w:tab w:val="clear" w:pos="720"/>
        <w:tab w:val="num" w:pos="360"/>
      </w:tabs>
      <w:spacing w:after="240" w:line="240" w:lineRule="auto"/>
    </w:pPr>
    <w:rPr>
      <w:rFonts w:ascii="Times New Roman" w:eastAsia="Times New Roman" w:hAnsi="Times New Roman" w:cs="Times New Roman"/>
      <w:sz w:val="24"/>
      <w:szCs w:val="20"/>
    </w:rPr>
  </w:style>
  <w:style w:type="character" w:customStyle="1" w:styleId="FSAparagraphChar">
    <w:name w:val="FSAparagraph Char"/>
    <w:basedOn w:val="DefaultParagraphFont"/>
    <w:link w:val="FSAparagraph"/>
    <w:rsid w:val="00C3324D"/>
    <w:rPr>
      <w:rFonts w:ascii="Times New Roman" w:eastAsia="Times New Roman" w:hAnsi="Times New Roman" w:cs="Times New Roman"/>
      <w:sz w:val="24"/>
      <w:szCs w:val="20"/>
    </w:rPr>
  </w:style>
  <w:style w:type="character" w:customStyle="1" w:styleId="ilfuvd">
    <w:name w:val="ilfuvd"/>
    <w:basedOn w:val="DefaultParagraphFont"/>
    <w:rsid w:val="00C3324D"/>
  </w:style>
  <w:style w:type="character" w:customStyle="1" w:styleId="st">
    <w:name w:val="st"/>
    <w:basedOn w:val="DefaultParagraphFont"/>
    <w:rsid w:val="00C332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740509">
      <w:bodyDiv w:val="1"/>
      <w:marLeft w:val="0"/>
      <w:marRight w:val="0"/>
      <w:marTop w:val="0"/>
      <w:marBottom w:val="0"/>
      <w:divBdr>
        <w:top w:val="none" w:sz="0" w:space="0" w:color="auto"/>
        <w:left w:val="none" w:sz="0" w:space="0" w:color="auto"/>
        <w:bottom w:val="none" w:sz="0" w:space="0" w:color="auto"/>
        <w:right w:val="none" w:sz="0" w:space="0" w:color="auto"/>
      </w:divBdr>
      <w:divsChild>
        <w:div w:id="35667010">
          <w:marLeft w:val="0"/>
          <w:marRight w:val="0"/>
          <w:marTop w:val="0"/>
          <w:marBottom w:val="0"/>
          <w:divBdr>
            <w:top w:val="none" w:sz="0" w:space="0" w:color="auto"/>
            <w:left w:val="none" w:sz="0" w:space="0" w:color="auto"/>
            <w:bottom w:val="none" w:sz="0" w:space="0" w:color="auto"/>
            <w:right w:val="none" w:sz="0" w:space="0" w:color="auto"/>
          </w:divBdr>
        </w:div>
        <w:div w:id="114760892">
          <w:marLeft w:val="0"/>
          <w:marRight w:val="0"/>
          <w:marTop w:val="0"/>
          <w:marBottom w:val="0"/>
          <w:divBdr>
            <w:top w:val="none" w:sz="0" w:space="0" w:color="auto"/>
            <w:left w:val="none" w:sz="0" w:space="0" w:color="auto"/>
            <w:bottom w:val="none" w:sz="0" w:space="0" w:color="auto"/>
            <w:right w:val="none" w:sz="0" w:space="0" w:color="auto"/>
          </w:divBdr>
        </w:div>
        <w:div w:id="148598589">
          <w:marLeft w:val="0"/>
          <w:marRight w:val="0"/>
          <w:marTop w:val="0"/>
          <w:marBottom w:val="0"/>
          <w:divBdr>
            <w:top w:val="none" w:sz="0" w:space="0" w:color="auto"/>
            <w:left w:val="none" w:sz="0" w:space="0" w:color="auto"/>
            <w:bottom w:val="none" w:sz="0" w:space="0" w:color="auto"/>
            <w:right w:val="none" w:sz="0" w:space="0" w:color="auto"/>
          </w:divBdr>
        </w:div>
        <w:div w:id="194660100">
          <w:marLeft w:val="0"/>
          <w:marRight w:val="0"/>
          <w:marTop w:val="0"/>
          <w:marBottom w:val="0"/>
          <w:divBdr>
            <w:top w:val="none" w:sz="0" w:space="0" w:color="auto"/>
            <w:left w:val="none" w:sz="0" w:space="0" w:color="auto"/>
            <w:bottom w:val="none" w:sz="0" w:space="0" w:color="auto"/>
            <w:right w:val="none" w:sz="0" w:space="0" w:color="auto"/>
          </w:divBdr>
        </w:div>
        <w:div w:id="307443555">
          <w:marLeft w:val="0"/>
          <w:marRight w:val="0"/>
          <w:marTop w:val="0"/>
          <w:marBottom w:val="0"/>
          <w:divBdr>
            <w:top w:val="none" w:sz="0" w:space="0" w:color="auto"/>
            <w:left w:val="none" w:sz="0" w:space="0" w:color="auto"/>
            <w:bottom w:val="none" w:sz="0" w:space="0" w:color="auto"/>
            <w:right w:val="none" w:sz="0" w:space="0" w:color="auto"/>
          </w:divBdr>
        </w:div>
        <w:div w:id="431513054">
          <w:marLeft w:val="0"/>
          <w:marRight w:val="0"/>
          <w:marTop w:val="0"/>
          <w:marBottom w:val="0"/>
          <w:divBdr>
            <w:top w:val="none" w:sz="0" w:space="0" w:color="auto"/>
            <w:left w:val="none" w:sz="0" w:space="0" w:color="auto"/>
            <w:bottom w:val="none" w:sz="0" w:space="0" w:color="auto"/>
            <w:right w:val="none" w:sz="0" w:space="0" w:color="auto"/>
          </w:divBdr>
        </w:div>
        <w:div w:id="673000491">
          <w:marLeft w:val="0"/>
          <w:marRight w:val="0"/>
          <w:marTop w:val="0"/>
          <w:marBottom w:val="0"/>
          <w:divBdr>
            <w:top w:val="none" w:sz="0" w:space="0" w:color="auto"/>
            <w:left w:val="none" w:sz="0" w:space="0" w:color="auto"/>
            <w:bottom w:val="none" w:sz="0" w:space="0" w:color="auto"/>
            <w:right w:val="none" w:sz="0" w:space="0" w:color="auto"/>
          </w:divBdr>
        </w:div>
        <w:div w:id="769472063">
          <w:marLeft w:val="0"/>
          <w:marRight w:val="0"/>
          <w:marTop w:val="0"/>
          <w:marBottom w:val="0"/>
          <w:divBdr>
            <w:top w:val="none" w:sz="0" w:space="0" w:color="auto"/>
            <w:left w:val="none" w:sz="0" w:space="0" w:color="auto"/>
            <w:bottom w:val="none" w:sz="0" w:space="0" w:color="auto"/>
            <w:right w:val="none" w:sz="0" w:space="0" w:color="auto"/>
          </w:divBdr>
        </w:div>
        <w:div w:id="835069322">
          <w:marLeft w:val="0"/>
          <w:marRight w:val="0"/>
          <w:marTop w:val="0"/>
          <w:marBottom w:val="0"/>
          <w:divBdr>
            <w:top w:val="none" w:sz="0" w:space="0" w:color="auto"/>
            <w:left w:val="none" w:sz="0" w:space="0" w:color="auto"/>
            <w:bottom w:val="none" w:sz="0" w:space="0" w:color="auto"/>
            <w:right w:val="none" w:sz="0" w:space="0" w:color="auto"/>
          </w:divBdr>
        </w:div>
        <w:div w:id="835463901">
          <w:marLeft w:val="0"/>
          <w:marRight w:val="0"/>
          <w:marTop w:val="0"/>
          <w:marBottom w:val="0"/>
          <w:divBdr>
            <w:top w:val="none" w:sz="0" w:space="0" w:color="auto"/>
            <w:left w:val="none" w:sz="0" w:space="0" w:color="auto"/>
            <w:bottom w:val="none" w:sz="0" w:space="0" w:color="auto"/>
            <w:right w:val="none" w:sz="0" w:space="0" w:color="auto"/>
          </w:divBdr>
        </w:div>
        <w:div w:id="844367892">
          <w:marLeft w:val="0"/>
          <w:marRight w:val="0"/>
          <w:marTop w:val="0"/>
          <w:marBottom w:val="0"/>
          <w:divBdr>
            <w:top w:val="none" w:sz="0" w:space="0" w:color="auto"/>
            <w:left w:val="none" w:sz="0" w:space="0" w:color="auto"/>
            <w:bottom w:val="none" w:sz="0" w:space="0" w:color="auto"/>
            <w:right w:val="none" w:sz="0" w:space="0" w:color="auto"/>
          </w:divBdr>
        </w:div>
        <w:div w:id="1075591323">
          <w:marLeft w:val="0"/>
          <w:marRight w:val="0"/>
          <w:marTop w:val="0"/>
          <w:marBottom w:val="0"/>
          <w:divBdr>
            <w:top w:val="none" w:sz="0" w:space="0" w:color="auto"/>
            <w:left w:val="none" w:sz="0" w:space="0" w:color="auto"/>
            <w:bottom w:val="none" w:sz="0" w:space="0" w:color="auto"/>
            <w:right w:val="none" w:sz="0" w:space="0" w:color="auto"/>
          </w:divBdr>
        </w:div>
        <w:div w:id="1105927944">
          <w:marLeft w:val="0"/>
          <w:marRight w:val="0"/>
          <w:marTop w:val="0"/>
          <w:marBottom w:val="0"/>
          <w:divBdr>
            <w:top w:val="none" w:sz="0" w:space="0" w:color="auto"/>
            <w:left w:val="none" w:sz="0" w:space="0" w:color="auto"/>
            <w:bottom w:val="none" w:sz="0" w:space="0" w:color="auto"/>
            <w:right w:val="none" w:sz="0" w:space="0" w:color="auto"/>
          </w:divBdr>
        </w:div>
        <w:div w:id="1156991565">
          <w:marLeft w:val="0"/>
          <w:marRight w:val="0"/>
          <w:marTop w:val="0"/>
          <w:marBottom w:val="0"/>
          <w:divBdr>
            <w:top w:val="none" w:sz="0" w:space="0" w:color="auto"/>
            <w:left w:val="none" w:sz="0" w:space="0" w:color="auto"/>
            <w:bottom w:val="none" w:sz="0" w:space="0" w:color="auto"/>
            <w:right w:val="none" w:sz="0" w:space="0" w:color="auto"/>
          </w:divBdr>
        </w:div>
        <w:div w:id="1303462326">
          <w:marLeft w:val="0"/>
          <w:marRight w:val="0"/>
          <w:marTop w:val="0"/>
          <w:marBottom w:val="0"/>
          <w:divBdr>
            <w:top w:val="none" w:sz="0" w:space="0" w:color="auto"/>
            <w:left w:val="none" w:sz="0" w:space="0" w:color="auto"/>
            <w:bottom w:val="none" w:sz="0" w:space="0" w:color="auto"/>
            <w:right w:val="none" w:sz="0" w:space="0" w:color="auto"/>
          </w:divBdr>
        </w:div>
        <w:div w:id="1345666781">
          <w:marLeft w:val="0"/>
          <w:marRight w:val="0"/>
          <w:marTop w:val="0"/>
          <w:marBottom w:val="0"/>
          <w:divBdr>
            <w:top w:val="none" w:sz="0" w:space="0" w:color="auto"/>
            <w:left w:val="none" w:sz="0" w:space="0" w:color="auto"/>
            <w:bottom w:val="none" w:sz="0" w:space="0" w:color="auto"/>
            <w:right w:val="none" w:sz="0" w:space="0" w:color="auto"/>
          </w:divBdr>
        </w:div>
        <w:div w:id="1352033099">
          <w:marLeft w:val="0"/>
          <w:marRight w:val="0"/>
          <w:marTop w:val="0"/>
          <w:marBottom w:val="0"/>
          <w:divBdr>
            <w:top w:val="none" w:sz="0" w:space="0" w:color="auto"/>
            <w:left w:val="none" w:sz="0" w:space="0" w:color="auto"/>
            <w:bottom w:val="none" w:sz="0" w:space="0" w:color="auto"/>
            <w:right w:val="none" w:sz="0" w:space="0" w:color="auto"/>
          </w:divBdr>
        </w:div>
        <w:div w:id="1477184893">
          <w:marLeft w:val="0"/>
          <w:marRight w:val="0"/>
          <w:marTop w:val="0"/>
          <w:marBottom w:val="0"/>
          <w:divBdr>
            <w:top w:val="none" w:sz="0" w:space="0" w:color="auto"/>
            <w:left w:val="none" w:sz="0" w:space="0" w:color="auto"/>
            <w:bottom w:val="none" w:sz="0" w:space="0" w:color="auto"/>
            <w:right w:val="none" w:sz="0" w:space="0" w:color="auto"/>
          </w:divBdr>
        </w:div>
        <w:div w:id="1525291543">
          <w:marLeft w:val="0"/>
          <w:marRight w:val="0"/>
          <w:marTop w:val="0"/>
          <w:marBottom w:val="0"/>
          <w:divBdr>
            <w:top w:val="none" w:sz="0" w:space="0" w:color="auto"/>
            <w:left w:val="none" w:sz="0" w:space="0" w:color="auto"/>
            <w:bottom w:val="none" w:sz="0" w:space="0" w:color="auto"/>
            <w:right w:val="none" w:sz="0" w:space="0" w:color="auto"/>
          </w:divBdr>
        </w:div>
        <w:div w:id="1557087444">
          <w:marLeft w:val="0"/>
          <w:marRight w:val="0"/>
          <w:marTop w:val="0"/>
          <w:marBottom w:val="0"/>
          <w:divBdr>
            <w:top w:val="none" w:sz="0" w:space="0" w:color="auto"/>
            <w:left w:val="none" w:sz="0" w:space="0" w:color="auto"/>
            <w:bottom w:val="none" w:sz="0" w:space="0" w:color="auto"/>
            <w:right w:val="none" w:sz="0" w:space="0" w:color="auto"/>
          </w:divBdr>
        </w:div>
        <w:div w:id="1902985619">
          <w:marLeft w:val="0"/>
          <w:marRight w:val="0"/>
          <w:marTop w:val="0"/>
          <w:marBottom w:val="0"/>
          <w:divBdr>
            <w:top w:val="none" w:sz="0" w:space="0" w:color="auto"/>
            <w:left w:val="none" w:sz="0" w:space="0" w:color="auto"/>
            <w:bottom w:val="none" w:sz="0" w:space="0" w:color="auto"/>
            <w:right w:val="none" w:sz="0" w:space="0" w:color="auto"/>
          </w:divBdr>
        </w:div>
        <w:div w:id="2005861682">
          <w:marLeft w:val="0"/>
          <w:marRight w:val="0"/>
          <w:marTop w:val="0"/>
          <w:marBottom w:val="0"/>
          <w:divBdr>
            <w:top w:val="none" w:sz="0" w:space="0" w:color="auto"/>
            <w:left w:val="none" w:sz="0" w:space="0" w:color="auto"/>
            <w:bottom w:val="none" w:sz="0" w:space="0" w:color="auto"/>
            <w:right w:val="none" w:sz="0" w:space="0" w:color="auto"/>
          </w:divBdr>
        </w:div>
        <w:div w:id="2055881061">
          <w:marLeft w:val="0"/>
          <w:marRight w:val="0"/>
          <w:marTop w:val="0"/>
          <w:marBottom w:val="0"/>
          <w:divBdr>
            <w:top w:val="none" w:sz="0" w:space="0" w:color="auto"/>
            <w:left w:val="none" w:sz="0" w:space="0" w:color="auto"/>
            <w:bottom w:val="none" w:sz="0" w:space="0" w:color="auto"/>
            <w:right w:val="none" w:sz="0" w:space="0" w:color="auto"/>
          </w:divBdr>
        </w:div>
        <w:div w:id="2070028548">
          <w:marLeft w:val="0"/>
          <w:marRight w:val="0"/>
          <w:marTop w:val="0"/>
          <w:marBottom w:val="0"/>
          <w:divBdr>
            <w:top w:val="none" w:sz="0" w:space="0" w:color="auto"/>
            <w:left w:val="none" w:sz="0" w:space="0" w:color="auto"/>
            <w:bottom w:val="none" w:sz="0" w:space="0" w:color="auto"/>
            <w:right w:val="none" w:sz="0" w:space="0" w:color="auto"/>
          </w:divBdr>
        </w:div>
      </w:divsChild>
    </w:div>
    <w:div w:id="208693296">
      <w:bodyDiv w:val="1"/>
      <w:marLeft w:val="0"/>
      <w:marRight w:val="0"/>
      <w:marTop w:val="0"/>
      <w:marBottom w:val="0"/>
      <w:divBdr>
        <w:top w:val="none" w:sz="0" w:space="0" w:color="auto"/>
        <w:left w:val="none" w:sz="0" w:space="0" w:color="auto"/>
        <w:bottom w:val="none" w:sz="0" w:space="0" w:color="auto"/>
        <w:right w:val="none" w:sz="0" w:space="0" w:color="auto"/>
      </w:divBdr>
    </w:div>
    <w:div w:id="245963122">
      <w:bodyDiv w:val="1"/>
      <w:marLeft w:val="0"/>
      <w:marRight w:val="0"/>
      <w:marTop w:val="0"/>
      <w:marBottom w:val="0"/>
      <w:divBdr>
        <w:top w:val="none" w:sz="0" w:space="0" w:color="auto"/>
        <w:left w:val="none" w:sz="0" w:space="0" w:color="auto"/>
        <w:bottom w:val="none" w:sz="0" w:space="0" w:color="auto"/>
        <w:right w:val="none" w:sz="0" w:space="0" w:color="auto"/>
      </w:divBdr>
    </w:div>
    <w:div w:id="267741871">
      <w:bodyDiv w:val="1"/>
      <w:marLeft w:val="0"/>
      <w:marRight w:val="0"/>
      <w:marTop w:val="0"/>
      <w:marBottom w:val="0"/>
      <w:divBdr>
        <w:top w:val="none" w:sz="0" w:space="0" w:color="auto"/>
        <w:left w:val="none" w:sz="0" w:space="0" w:color="auto"/>
        <w:bottom w:val="none" w:sz="0" w:space="0" w:color="auto"/>
        <w:right w:val="none" w:sz="0" w:space="0" w:color="auto"/>
      </w:divBdr>
    </w:div>
    <w:div w:id="271715416">
      <w:bodyDiv w:val="1"/>
      <w:marLeft w:val="0"/>
      <w:marRight w:val="0"/>
      <w:marTop w:val="0"/>
      <w:marBottom w:val="0"/>
      <w:divBdr>
        <w:top w:val="none" w:sz="0" w:space="0" w:color="auto"/>
        <w:left w:val="none" w:sz="0" w:space="0" w:color="auto"/>
        <w:bottom w:val="none" w:sz="0" w:space="0" w:color="auto"/>
        <w:right w:val="none" w:sz="0" w:space="0" w:color="auto"/>
      </w:divBdr>
    </w:div>
    <w:div w:id="427431305">
      <w:bodyDiv w:val="1"/>
      <w:marLeft w:val="0"/>
      <w:marRight w:val="0"/>
      <w:marTop w:val="0"/>
      <w:marBottom w:val="0"/>
      <w:divBdr>
        <w:top w:val="none" w:sz="0" w:space="0" w:color="auto"/>
        <w:left w:val="none" w:sz="0" w:space="0" w:color="auto"/>
        <w:bottom w:val="none" w:sz="0" w:space="0" w:color="auto"/>
        <w:right w:val="none" w:sz="0" w:space="0" w:color="auto"/>
      </w:divBdr>
    </w:div>
    <w:div w:id="563026055">
      <w:bodyDiv w:val="1"/>
      <w:marLeft w:val="0"/>
      <w:marRight w:val="0"/>
      <w:marTop w:val="0"/>
      <w:marBottom w:val="0"/>
      <w:divBdr>
        <w:top w:val="none" w:sz="0" w:space="0" w:color="auto"/>
        <w:left w:val="none" w:sz="0" w:space="0" w:color="auto"/>
        <w:bottom w:val="none" w:sz="0" w:space="0" w:color="auto"/>
        <w:right w:val="none" w:sz="0" w:space="0" w:color="auto"/>
      </w:divBdr>
    </w:div>
    <w:div w:id="723870071">
      <w:bodyDiv w:val="1"/>
      <w:marLeft w:val="0"/>
      <w:marRight w:val="0"/>
      <w:marTop w:val="0"/>
      <w:marBottom w:val="0"/>
      <w:divBdr>
        <w:top w:val="none" w:sz="0" w:space="0" w:color="auto"/>
        <w:left w:val="none" w:sz="0" w:space="0" w:color="auto"/>
        <w:bottom w:val="none" w:sz="0" w:space="0" w:color="auto"/>
        <w:right w:val="none" w:sz="0" w:space="0" w:color="auto"/>
      </w:divBdr>
      <w:divsChild>
        <w:div w:id="993991893">
          <w:marLeft w:val="187"/>
          <w:marRight w:val="0"/>
          <w:marTop w:val="0"/>
          <w:marBottom w:val="0"/>
          <w:divBdr>
            <w:top w:val="none" w:sz="0" w:space="0" w:color="auto"/>
            <w:left w:val="none" w:sz="0" w:space="0" w:color="auto"/>
            <w:bottom w:val="none" w:sz="0" w:space="0" w:color="auto"/>
            <w:right w:val="none" w:sz="0" w:space="0" w:color="auto"/>
          </w:divBdr>
        </w:div>
      </w:divsChild>
    </w:div>
    <w:div w:id="933705245">
      <w:bodyDiv w:val="1"/>
      <w:marLeft w:val="0"/>
      <w:marRight w:val="0"/>
      <w:marTop w:val="0"/>
      <w:marBottom w:val="0"/>
      <w:divBdr>
        <w:top w:val="none" w:sz="0" w:space="0" w:color="auto"/>
        <w:left w:val="none" w:sz="0" w:space="0" w:color="auto"/>
        <w:bottom w:val="none" w:sz="0" w:space="0" w:color="auto"/>
        <w:right w:val="none" w:sz="0" w:space="0" w:color="auto"/>
      </w:divBdr>
      <w:divsChild>
        <w:div w:id="1218665670">
          <w:marLeft w:val="0"/>
          <w:marRight w:val="0"/>
          <w:marTop w:val="0"/>
          <w:marBottom w:val="0"/>
          <w:divBdr>
            <w:top w:val="none" w:sz="0" w:space="0" w:color="auto"/>
            <w:left w:val="none" w:sz="0" w:space="0" w:color="auto"/>
            <w:bottom w:val="none" w:sz="0" w:space="0" w:color="auto"/>
            <w:right w:val="none" w:sz="0" w:space="0" w:color="auto"/>
          </w:divBdr>
          <w:divsChild>
            <w:div w:id="732773562">
              <w:marLeft w:val="0"/>
              <w:marRight w:val="0"/>
              <w:marTop w:val="0"/>
              <w:marBottom w:val="0"/>
              <w:divBdr>
                <w:top w:val="none" w:sz="0" w:space="0" w:color="auto"/>
                <w:left w:val="none" w:sz="0" w:space="0" w:color="auto"/>
                <w:bottom w:val="none" w:sz="0" w:space="0" w:color="auto"/>
                <w:right w:val="none" w:sz="0" w:space="0" w:color="auto"/>
              </w:divBdr>
              <w:divsChild>
                <w:div w:id="1303001854">
                  <w:marLeft w:val="0"/>
                  <w:marRight w:val="0"/>
                  <w:marTop w:val="0"/>
                  <w:marBottom w:val="0"/>
                  <w:divBdr>
                    <w:top w:val="none" w:sz="0" w:space="0" w:color="auto"/>
                    <w:left w:val="none" w:sz="0" w:space="0" w:color="auto"/>
                    <w:bottom w:val="none" w:sz="0" w:space="0" w:color="auto"/>
                    <w:right w:val="none" w:sz="0" w:space="0" w:color="auto"/>
                  </w:divBdr>
                  <w:divsChild>
                    <w:div w:id="1309895319">
                      <w:marLeft w:val="0"/>
                      <w:marRight w:val="0"/>
                      <w:marTop w:val="0"/>
                      <w:marBottom w:val="0"/>
                      <w:divBdr>
                        <w:top w:val="none" w:sz="0" w:space="0" w:color="auto"/>
                        <w:left w:val="none" w:sz="0" w:space="0" w:color="auto"/>
                        <w:bottom w:val="none" w:sz="0" w:space="0" w:color="auto"/>
                        <w:right w:val="none" w:sz="0" w:space="0" w:color="auto"/>
                      </w:divBdr>
                      <w:divsChild>
                        <w:div w:id="1642463701">
                          <w:marLeft w:val="0"/>
                          <w:marRight w:val="0"/>
                          <w:marTop w:val="0"/>
                          <w:marBottom w:val="0"/>
                          <w:divBdr>
                            <w:top w:val="none" w:sz="0" w:space="0" w:color="auto"/>
                            <w:left w:val="none" w:sz="0" w:space="0" w:color="auto"/>
                            <w:bottom w:val="none" w:sz="0" w:space="0" w:color="auto"/>
                            <w:right w:val="none" w:sz="0" w:space="0" w:color="auto"/>
                          </w:divBdr>
                          <w:divsChild>
                            <w:div w:id="1983535840">
                              <w:marLeft w:val="0"/>
                              <w:marRight w:val="0"/>
                              <w:marTop w:val="0"/>
                              <w:marBottom w:val="0"/>
                              <w:divBdr>
                                <w:top w:val="none" w:sz="0" w:space="0" w:color="auto"/>
                                <w:left w:val="none" w:sz="0" w:space="0" w:color="auto"/>
                                <w:bottom w:val="none" w:sz="0" w:space="0" w:color="auto"/>
                                <w:right w:val="none" w:sz="0" w:space="0" w:color="auto"/>
                              </w:divBdr>
                              <w:divsChild>
                                <w:div w:id="946275995">
                                  <w:marLeft w:val="0"/>
                                  <w:marRight w:val="0"/>
                                  <w:marTop w:val="0"/>
                                  <w:marBottom w:val="0"/>
                                  <w:divBdr>
                                    <w:top w:val="none" w:sz="0" w:space="0" w:color="auto"/>
                                    <w:left w:val="none" w:sz="0" w:space="0" w:color="auto"/>
                                    <w:bottom w:val="none" w:sz="0" w:space="0" w:color="auto"/>
                                    <w:right w:val="none" w:sz="0" w:space="0" w:color="auto"/>
                                  </w:divBdr>
                                  <w:divsChild>
                                    <w:div w:id="519244332">
                                      <w:marLeft w:val="0"/>
                                      <w:marRight w:val="0"/>
                                      <w:marTop w:val="0"/>
                                      <w:marBottom w:val="0"/>
                                      <w:divBdr>
                                        <w:top w:val="none" w:sz="0" w:space="0" w:color="auto"/>
                                        <w:left w:val="none" w:sz="0" w:space="0" w:color="auto"/>
                                        <w:bottom w:val="none" w:sz="0" w:space="0" w:color="auto"/>
                                        <w:right w:val="none" w:sz="0" w:space="0" w:color="auto"/>
                                      </w:divBdr>
                                      <w:divsChild>
                                        <w:div w:id="1910143192">
                                          <w:marLeft w:val="0"/>
                                          <w:marRight w:val="0"/>
                                          <w:marTop w:val="0"/>
                                          <w:marBottom w:val="0"/>
                                          <w:divBdr>
                                            <w:top w:val="none" w:sz="0" w:space="0" w:color="auto"/>
                                            <w:left w:val="none" w:sz="0" w:space="0" w:color="auto"/>
                                            <w:bottom w:val="none" w:sz="0" w:space="0" w:color="auto"/>
                                            <w:right w:val="none" w:sz="0" w:space="0" w:color="auto"/>
                                          </w:divBdr>
                                          <w:divsChild>
                                            <w:div w:id="1088773239">
                                              <w:marLeft w:val="0"/>
                                              <w:marRight w:val="0"/>
                                              <w:marTop w:val="0"/>
                                              <w:marBottom w:val="0"/>
                                              <w:divBdr>
                                                <w:top w:val="none" w:sz="0" w:space="0" w:color="auto"/>
                                                <w:left w:val="none" w:sz="0" w:space="0" w:color="auto"/>
                                                <w:bottom w:val="none" w:sz="0" w:space="0" w:color="auto"/>
                                                <w:right w:val="none" w:sz="0" w:space="0" w:color="auto"/>
                                              </w:divBdr>
                                              <w:divsChild>
                                                <w:div w:id="858272570">
                                                  <w:marLeft w:val="0"/>
                                                  <w:marRight w:val="0"/>
                                                  <w:marTop w:val="0"/>
                                                  <w:marBottom w:val="0"/>
                                                  <w:divBdr>
                                                    <w:top w:val="none" w:sz="0" w:space="0" w:color="auto"/>
                                                    <w:left w:val="none" w:sz="0" w:space="0" w:color="auto"/>
                                                    <w:bottom w:val="none" w:sz="0" w:space="0" w:color="auto"/>
                                                    <w:right w:val="none" w:sz="0" w:space="0" w:color="auto"/>
                                                  </w:divBdr>
                                                  <w:divsChild>
                                                    <w:div w:id="93524654">
                                                      <w:marLeft w:val="0"/>
                                                      <w:marRight w:val="0"/>
                                                      <w:marTop w:val="0"/>
                                                      <w:marBottom w:val="0"/>
                                                      <w:divBdr>
                                                        <w:top w:val="none" w:sz="0" w:space="0" w:color="auto"/>
                                                        <w:left w:val="none" w:sz="0" w:space="0" w:color="auto"/>
                                                        <w:bottom w:val="none" w:sz="0" w:space="0" w:color="auto"/>
                                                        <w:right w:val="none" w:sz="0" w:space="0" w:color="auto"/>
                                                      </w:divBdr>
                                                      <w:divsChild>
                                                        <w:div w:id="1408531655">
                                                          <w:marLeft w:val="0"/>
                                                          <w:marRight w:val="0"/>
                                                          <w:marTop w:val="0"/>
                                                          <w:marBottom w:val="0"/>
                                                          <w:divBdr>
                                                            <w:top w:val="none" w:sz="0" w:space="0" w:color="auto"/>
                                                            <w:left w:val="none" w:sz="0" w:space="0" w:color="auto"/>
                                                            <w:bottom w:val="none" w:sz="0" w:space="0" w:color="auto"/>
                                                            <w:right w:val="none" w:sz="0" w:space="0" w:color="auto"/>
                                                          </w:divBdr>
                                                          <w:divsChild>
                                                            <w:div w:id="214519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98401870">
      <w:bodyDiv w:val="1"/>
      <w:marLeft w:val="0"/>
      <w:marRight w:val="0"/>
      <w:marTop w:val="0"/>
      <w:marBottom w:val="0"/>
      <w:divBdr>
        <w:top w:val="none" w:sz="0" w:space="0" w:color="auto"/>
        <w:left w:val="none" w:sz="0" w:space="0" w:color="auto"/>
        <w:bottom w:val="none" w:sz="0" w:space="0" w:color="auto"/>
        <w:right w:val="none" w:sz="0" w:space="0" w:color="auto"/>
      </w:divBdr>
    </w:div>
    <w:div w:id="1159267210">
      <w:bodyDiv w:val="1"/>
      <w:marLeft w:val="0"/>
      <w:marRight w:val="0"/>
      <w:marTop w:val="0"/>
      <w:marBottom w:val="0"/>
      <w:divBdr>
        <w:top w:val="none" w:sz="0" w:space="0" w:color="auto"/>
        <w:left w:val="none" w:sz="0" w:space="0" w:color="auto"/>
        <w:bottom w:val="none" w:sz="0" w:space="0" w:color="auto"/>
        <w:right w:val="none" w:sz="0" w:space="0" w:color="auto"/>
      </w:divBdr>
      <w:divsChild>
        <w:div w:id="82148518">
          <w:marLeft w:val="547"/>
          <w:marRight w:val="0"/>
          <w:marTop w:val="0"/>
          <w:marBottom w:val="0"/>
          <w:divBdr>
            <w:top w:val="none" w:sz="0" w:space="0" w:color="auto"/>
            <w:left w:val="none" w:sz="0" w:space="0" w:color="auto"/>
            <w:bottom w:val="none" w:sz="0" w:space="0" w:color="auto"/>
            <w:right w:val="none" w:sz="0" w:space="0" w:color="auto"/>
          </w:divBdr>
        </w:div>
        <w:div w:id="742260840">
          <w:marLeft w:val="547"/>
          <w:marRight w:val="0"/>
          <w:marTop w:val="0"/>
          <w:marBottom w:val="0"/>
          <w:divBdr>
            <w:top w:val="none" w:sz="0" w:space="0" w:color="auto"/>
            <w:left w:val="none" w:sz="0" w:space="0" w:color="auto"/>
            <w:bottom w:val="none" w:sz="0" w:space="0" w:color="auto"/>
            <w:right w:val="none" w:sz="0" w:space="0" w:color="auto"/>
          </w:divBdr>
        </w:div>
        <w:div w:id="1156990627">
          <w:marLeft w:val="547"/>
          <w:marRight w:val="0"/>
          <w:marTop w:val="0"/>
          <w:marBottom w:val="0"/>
          <w:divBdr>
            <w:top w:val="none" w:sz="0" w:space="0" w:color="auto"/>
            <w:left w:val="none" w:sz="0" w:space="0" w:color="auto"/>
            <w:bottom w:val="none" w:sz="0" w:space="0" w:color="auto"/>
            <w:right w:val="none" w:sz="0" w:space="0" w:color="auto"/>
          </w:divBdr>
        </w:div>
        <w:div w:id="1152408839">
          <w:marLeft w:val="547"/>
          <w:marRight w:val="0"/>
          <w:marTop w:val="0"/>
          <w:marBottom w:val="0"/>
          <w:divBdr>
            <w:top w:val="none" w:sz="0" w:space="0" w:color="auto"/>
            <w:left w:val="none" w:sz="0" w:space="0" w:color="auto"/>
            <w:bottom w:val="none" w:sz="0" w:space="0" w:color="auto"/>
            <w:right w:val="none" w:sz="0" w:space="0" w:color="auto"/>
          </w:divBdr>
        </w:div>
        <w:div w:id="1084566309">
          <w:marLeft w:val="547"/>
          <w:marRight w:val="0"/>
          <w:marTop w:val="0"/>
          <w:marBottom w:val="0"/>
          <w:divBdr>
            <w:top w:val="none" w:sz="0" w:space="0" w:color="auto"/>
            <w:left w:val="none" w:sz="0" w:space="0" w:color="auto"/>
            <w:bottom w:val="none" w:sz="0" w:space="0" w:color="auto"/>
            <w:right w:val="none" w:sz="0" w:space="0" w:color="auto"/>
          </w:divBdr>
        </w:div>
      </w:divsChild>
    </w:div>
    <w:div w:id="1231185843">
      <w:bodyDiv w:val="1"/>
      <w:marLeft w:val="0"/>
      <w:marRight w:val="0"/>
      <w:marTop w:val="0"/>
      <w:marBottom w:val="0"/>
      <w:divBdr>
        <w:top w:val="none" w:sz="0" w:space="0" w:color="auto"/>
        <w:left w:val="none" w:sz="0" w:space="0" w:color="auto"/>
        <w:bottom w:val="none" w:sz="0" w:space="0" w:color="auto"/>
        <w:right w:val="none" w:sz="0" w:space="0" w:color="auto"/>
      </w:divBdr>
    </w:div>
    <w:div w:id="1235047430">
      <w:bodyDiv w:val="1"/>
      <w:marLeft w:val="0"/>
      <w:marRight w:val="0"/>
      <w:marTop w:val="0"/>
      <w:marBottom w:val="0"/>
      <w:divBdr>
        <w:top w:val="none" w:sz="0" w:space="0" w:color="auto"/>
        <w:left w:val="none" w:sz="0" w:space="0" w:color="auto"/>
        <w:bottom w:val="none" w:sz="0" w:space="0" w:color="auto"/>
        <w:right w:val="none" w:sz="0" w:space="0" w:color="auto"/>
      </w:divBdr>
    </w:div>
    <w:div w:id="1249313804">
      <w:bodyDiv w:val="1"/>
      <w:marLeft w:val="0"/>
      <w:marRight w:val="0"/>
      <w:marTop w:val="0"/>
      <w:marBottom w:val="0"/>
      <w:divBdr>
        <w:top w:val="none" w:sz="0" w:space="0" w:color="auto"/>
        <w:left w:val="none" w:sz="0" w:space="0" w:color="auto"/>
        <w:bottom w:val="none" w:sz="0" w:space="0" w:color="auto"/>
        <w:right w:val="none" w:sz="0" w:space="0" w:color="auto"/>
      </w:divBdr>
    </w:div>
    <w:div w:id="1276401375">
      <w:bodyDiv w:val="1"/>
      <w:marLeft w:val="0"/>
      <w:marRight w:val="0"/>
      <w:marTop w:val="0"/>
      <w:marBottom w:val="0"/>
      <w:divBdr>
        <w:top w:val="none" w:sz="0" w:space="0" w:color="auto"/>
        <w:left w:val="none" w:sz="0" w:space="0" w:color="auto"/>
        <w:bottom w:val="none" w:sz="0" w:space="0" w:color="auto"/>
        <w:right w:val="none" w:sz="0" w:space="0" w:color="auto"/>
      </w:divBdr>
    </w:div>
    <w:div w:id="1299068244">
      <w:bodyDiv w:val="1"/>
      <w:marLeft w:val="0"/>
      <w:marRight w:val="0"/>
      <w:marTop w:val="0"/>
      <w:marBottom w:val="0"/>
      <w:divBdr>
        <w:top w:val="none" w:sz="0" w:space="0" w:color="auto"/>
        <w:left w:val="none" w:sz="0" w:space="0" w:color="auto"/>
        <w:bottom w:val="none" w:sz="0" w:space="0" w:color="auto"/>
        <w:right w:val="none" w:sz="0" w:space="0" w:color="auto"/>
      </w:divBdr>
    </w:div>
    <w:div w:id="1308702005">
      <w:bodyDiv w:val="1"/>
      <w:marLeft w:val="0"/>
      <w:marRight w:val="0"/>
      <w:marTop w:val="0"/>
      <w:marBottom w:val="0"/>
      <w:divBdr>
        <w:top w:val="none" w:sz="0" w:space="0" w:color="auto"/>
        <w:left w:val="none" w:sz="0" w:space="0" w:color="auto"/>
        <w:bottom w:val="none" w:sz="0" w:space="0" w:color="auto"/>
        <w:right w:val="none" w:sz="0" w:space="0" w:color="auto"/>
      </w:divBdr>
    </w:div>
    <w:div w:id="1552113942">
      <w:bodyDiv w:val="1"/>
      <w:marLeft w:val="0"/>
      <w:marRight w:val="0"/>
      <w:marTop w:val="0"/>
      <w:marBottom w:val="0"/>
      <w:divBdr>
        <w:top w:val="none" w:sz="0" w:space="0" w:color="auto"/>
        <w:left w:val="none" w:sz="0" w:space="0" w:color="auto"/>
        <w:bottom w:val="none" w:sz="0" w:space="0" w:color="auto"/>
        <w:right w:val="none" w:sz="0" w:space="0" w:color="auto"/>
      </w:divBdr>
      <w:divsChild>
        <w:div w:id="761686396">
          <w:marLeft w:val="0"/>
          <w:marRight w:val="0"/>
          <w:marTop w:val="0"/>
          <w:marBottom w:val="0"/>
          <w:divBdr>
            <w:top w:val="none" w:sz="0" w:space="0" w:color="auto"/>
            <w:left w:val="none" w:sz="0" w:space="0" w:color="auto"/>
            <w:bottom w:val="none" w:sz="0" w:space="0" w:color="auto"/>
            <w:right w:val="none" w:sz="0" w:space="0" w:color="auto"/>
          </w:divBdr>
        </w:div>
        <w:div w:id="1801655459">
          <w:marLeft w:val="0"/>
          <w:marRight w:val="0"/>
          <w:marTop w:val="0"/>
          <w:marBottom w:val="0"/>
          <w:divBdr>
            <w:top w:val="none" w:sz="0" w:space="0" w:color="auto"/>
            <w:left w:val="none" w:sz="0" w:space="0" w:color="auto"/>
            <w:bottom w:val="none" w:sz="0" w:space="0" w:color="auto"/>
            <w:right w:val="none" w:sz="0" w:space="0" w:color="auto"/>
          </w:divBdr>
        </w:div>
        <w:div w:id="1866017240">
          <w:marLeft w:val="0"/>
          <w:marRight w:val="0"/>
          <w:marTop w:val="0"/>
          <w:marBottom w:val="0"/>
          <w:divBdr>
            <w:top w:val="none" w:sz="0" w:space="0" w:color="auto"/>
            <w:left w:val="none" w:sz="0" w:space="0" w:color="auto"/>
            <w:bottom w:val="none" w:sz="0" w:space="0" w:color="auto"/>
            <w:right w:val="none" w:sz="0" w:space="0" w:color="auto"/>
          </w:divBdr>
        </w:div>
      </w:divsChild>
    </w:div>
    <w:div w:id="1621450729">
      <w:bodyDiv w:val="1"/>
      <w:marLeft w:val="0"/>
      <w:marRight w:val="0"/>
      <w:marTop w:val="0"/>
      <w:marBottom w:val="0"/>
      <w:divBdr>
        <w:top w:val="none" w:sz="0" w:space="0" w:color="auto"/>
        <w:left w:val="none" w:sz="0" w:space="0" w:color="auto"/>
        <w:bottom w:val="none" w:sz="0" w:space="0" w:color="auto"/>
        <w:right w:val="none" w:sz="0" w:space="0" w:color="auto"/>
      </w:divBdr>
    </w:div>
    <w:div w:id="1635021686">
      <w:bodyDiv w:val="1"/>
      <w:marLeft w:val="0"/>
      <w:marRight w:val="0"/>
      <w:marTop w:val="0"/>
      <w:marBottom w:val="0"/>
      <w:divBdr>
        <w:top w:val="none" w:sz="0" w:space="0" w:color="auto"/>
        <w:left w:val="none" w:sz="0" w:space="0" w:color="auto"/>
        <w:bottom w:val="none" w:sz="0" w:space="0" w:color="auto"/>
        <w:right w:val="none" w:sz="0" w:space="0" w:color="auto"/>
      </w:divBdr>
    </w:div>
    <w:div w:id="1730959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4.xm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3.xml"/><Relationship Id="rId25"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chart" Target="charts/chart4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60.xml"/><Relationship Id="rId5" Type="http://schemas.openxmlformats.org/officeDocument/2006/relationships/settings" Target="settings.xml"/><Relationship Id="rId15" Type="http://schemas.openxmlformats.org/officeDocument/2006/relationships/chart" Target="charts/chart20.xml"/><Relationship Id="rId23" Type="http://schemas.openxmlformats.org/officeDocument/2006/relationships/chart" Target="charts/chart50.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chart" Target="charts/chart30.xml"/><Relationship Id="rId4" Type="http://schemas.openxmlformats.org/officeDocument/2006/relationships/image" Target="media/image1.gif"/><Relationship Id="rId9" Type="http://schemas.openxmlformats.org/officeDocument/2006/relationships/image" Target="media/image2.jpeg"/><Relationship Id="rId14" Type="http://schemas.openxmlformats.org/officeDocument/2006/relationships/chart" Target="charts/chart10.xml"/><Relationship Id="rId22" Type="http://schemas.openxmlformats.org/officeDocument/2006/relationships/chart" Target="charts/chart6.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0.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10.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Microsoft_Excel_Worksheet20.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package" Target="../embeddings/Microsoft_Excel_Worksheet30.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50.xml.rels><?xml version="1.0" encoding="UTF-8" standalone="yes"?>
<Relationships xmlns="http://schemas.openxmlformats.org/package/2006/relationships"><Relationship Id="rId3" Type="http://schemas.openxmlformats.org/officeDocument/2006/relationships/themeOverride" Target="../theme/themeOverride50.xml"/><Relationship Id="rId2" Type="http://schemas.microsoft.com/office/2011/relationships/chartColorStyle" Target="colors50.xml"/><Relationship Id="rId1" Type="http://schemas.microsoft.com/office/2011/relationships/chartStyle" Target="style50.xml"/><Relationship Id="rId4" Type="http://schemas.openxmlformats.org/officeDocument/2006/relationships/package" Target="../embeddings/Microsoft_Excel_Worksheet40.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60.xml.rels><?xml version="1.0" encoding="UTF-8" standalone="yes"?>
<Relationships xmlns="http://schemas.openxmlformats.org/package/2006/relationships"><Relationship Id="rId3" Type="http://schemas.openxmlformats.org/officeDocument/2006/relationships/themeOverride" Target="../theme/themeOverride60.xml"/><Relationship Id="rId2" Type="http://schemas.microsoft.com/office/2011/relationships/chartColorStyle" Target="colors60.xml"/><Relationship Id="rId1" Type="http://schemas.microsoft.com/office/2011/relationships/chartStyle" Target="style60.xml"/><Relationship Id="rId4" Type="http://schemas.openxmlformats.org/officeDocument/2006/relationships/package" Target="../embeddings/Microsoft_Excel_Worksheet50.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1" i="0" u="none" strike="noStrike" kern="1200" spc="0" baseline="0">
                <a:solidFill>
                  <a:schemeClr val="tx1"/>
                </a:solidFill>
                <a:latin typeface="BentonSans Book"/>
                <a:ea typeface="+mn-ea"/>
                <a:cs typeface="+mn-cs"/>
              </a:defRPr>
            </a:pPr>
            <a:r>
              <a:rPr lang="en-US" sz="800" b="1">
                <a:solidFill>
                  <a:schemeClr val="tx1"/>
                </a:solidFill>
              </a:rPr>
              <a:t>New Authorized Loans</a:t>
            </a:r>
          </a:p>
        </c:rich>
      </c:tx>
      <c:overlay val="0"/>
      <c:spPr>
        <a:noFill/>
        <a:ln>
          <a:noFill/>
        </a:ln>
        <a:effectLst/>
      </c:spPr>
      <c:txPr>
        <a:bodyPr rot="0" spcFirstLastPara="1" vertOverflow="ellipsis" vert="horz" wrap="square" anchor="ctr" anchorCtr="1"/>
        <a:lstStyle/>
        <a:p>
          <a:pPr>
            <a:defRPr sz="800" b="1" i="0" u="none" strike="noStrike" kern="1200" spc="0" baseline="0">
              <a:solidFill>
                <a:schemeClr val="tx1"/>
              </a:solidFill>
              <a:latin typeface="BentonSans Book"/>
              <a:ea typeface="+mn-ea"/>
              <a:cs typeface="+mn-cs"/>
            </a:defRPr>
          </a:pPr>
          <a:endParaRPr lang="en-US"/>
        </a:p>
      </c:txPr>
    </c:title>
    <c:autoTitleDeleted val="0"/>
    <c:plotArea>
      <c:layout/>
      <c:barChart>
        <c:barDir val="col"/>
        <c:grouping val="clustered"/>
        <c:varyColors val="0"/>
        <c:ser>
          <c:idx val="0"/>
          <c:order val="0"/>
          <c:tx>
            <c:strRef>
              <c:f>SAMMURY!$A$147</c:f>
              <c:strCache>
                <c:ptCount val="1"/>
                <c:pt idx="0">
                  <c:v>New loans (LA)</c:v>
                </c:pt>
              </c:strCache>
            </c:strRef>
          </c:tx>
          <c:spPr>
            <a:solidFill>
              <a:srgbClr val="92D050"/>
            </a:solidFill>
            <a:ln>
              <a:noFill/>
            </a:ln>
            <a:effectLst/>
          </c:spPr>
          <c:invertIfNegative val="0"/>
          <c:dLbls>
            <c:spPr>
              <a:noFill/>
              <a:ln>
                <a:solidFill>
                  <a:srgbClr val="5B9BD5">
                    <a:lumMod val="75000"/>
                  </a:srgbClr>
                </a:solidFill>
              </a:ln>
              <a:effectLst/>
            </c:spPr>
            <c:txPr>
              <a:bodyPr rot="0" spcFirstLastPara="1" vertOverflow="ellipsis" vert="horz" wrap="square" anchor="ctr" anchorCtr="1"/>
              <a:lstStyle/>
              <a:p>
                <a:pPr>
                  <a:defRPr sz="800" b="0" i="0" u="none" strike="noStrike" kern="1200" baseline="0">
                    <a:solidFill>
                      <a:schemeClr val="tx1"/>
                    </a:solidFill>
                    <a:latin typeface="BentonSans Book"/>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SAMMURY!$F$146:$J$146</c:f>
              <c:numCache>
                <c:formatCode>mmm\-yy</c:formatCode>
                <c:ptCount val="5"/>
                <c:pt idx="0">
                  <c:v>41974</c:v>
                </c:pt>
                <c:pt idx="1">
                  <c:v>42339</c:v>
                </c:pt>
                <c:pt idx="2">
                  <c:v>42705</c:v>
                </c:pt>
                <c:pt idx="3">
                  <c:v>43070</c:v>
                </c:pt>
                <c:pt idx="4">
                  <c:v>43435</c:v>
                </c:pt>
              </c:numCache>
            </c:numRef>
          </c:cat>
          <c:val>
            <c:numRef>
              <c:f>SAMMURY!$F$147:$J$147</c:f>
              <c:numCache>
                <c:formatCode>_(* #,##0_);_(* \(#,##0\);_(* "-"??_);_(@_)</c:formatCode>
                <c:ptCount val="5"/>
                <c:pt idx="0">
                  <c:v>652.95363566666674</c:v>
                </c:pt>
                <c:pt idx="1">
                  <c:v>742.08905320000019</c:v>
                </c:pt>
                <c:pt idx="2">
                  <c:v>788.28512051666667</c:v>
                </c:pt>
                <c:pt idx="3">
                  <c:v>824.85211812833336</c:v>
                </c:pt>
                <c:pt idx="4">
                  <c:v>966.47299376233332</c:v>
                </c:pt>
              </c:numCache>
            </c:numRef>
          </c:val>
          <c:extLst>
            <c:ext xmlns:c16="http://schemas.microsoft.com/office/drawing/2014/chart" uri="{C3380CC4-5D6E-409C-BE32-E72D297353CC}">
              <c16:uniqueId val="{00000000-9B80-4400-9524-85855082368E}"/>
            </c:ext>
          </c:extLst>
        </c:ser>
        <c:dLbls>
          <c:showLegendKey val="0"/>
          <c:showVal val="0"/>
          <c:showCatName val="0"/>
          <c:showSerName val="0"/>
          <c:showPercent val="0"/>
          <c:showBubbleSize val="0"/>
        </c:dLbls>
        <c:gapWidth val="150"/>
        <c:axId val="1310626447"/>
        <c:axId val="1310623535"/>
      </c:barChart>
      <c:lineChart>
        <c:grouping val="standard"/>
        <c:varyColors val="0"/>
        <c:ser>
          <c:idx val="1"/>
          <c:order val="1"/>
          <c:tx>
            <c:strRef>
              <c:f>SAMMURY!$A$148</c:f>
              <c:strCache>
                <c:ptCount val="1"/>
                <c:pt idx="0">
                  <c:v>Growth of New Loans (RA)</c:v>
                </c:pt>
              </c:strCache>
            </c:strRef>
          </c:tx>
          <c:spPr>
            <a:ln w="19050" cap="rnd">
              <a:solidFill>
                <a:srgbClr val="C00000"/>
              </a:solidFill>
              <a:round/>
            </a:ln>
            <a:effectLst/>
          </c:spPr>
          <c:marker>
            <c:symbol val="none"/>
          </c:marker>
          <c:dLbls>
            <c:dLbl>
              <c:idx val="0"/>
              <c:layout>
                <c:manualLayout>
                  <c:x val="-1.717264808608036E-2"/>
                  <c:y val="-2.48226950354609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B80-4400-9524-85855082368E}"/>
                </c:ext>
              </c:extLst>
            </c:dLbl>
            <c:dLbl>
              <c:idx val="1"/>
              <c:layout>
                <c:manualLayout>
                  <c:x val="-2.2079118967817654E-2"/>
                  <c:y val="3.546099290780141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B80-4400-9524-85855082368E}"/>
                </c:ext>
              </c:extLst>
            </c:dLbl>
            <c:dLbl>
              <c:idx val="2"/>
              <c:layout>
                <c:manualLayout>
                  <c:x val="-2.6985589849554854E-2"/>
                  <c:y val="-2.12765957446808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B80-4400-9524-85855082368E}"/>
                </c:ext>
              </c:extLst>
            </c:dLbl>
            <c:dLbl>
              <c:idx val="3"/>
              <c:layout>
                <c:manualLayout>
                  <c:x val="-3.9251767053897969E-2"/>
                  <c:y val="1.77304964539007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B80-4400-9524-85855082368E}"/>
                </c:ext>
              </c:extLst>
            </c:dLbl>
            <c:dLbl>
              <c:idx val="4"/>
              <c:layout>
                <c:manualLayout>
                  <c:x val="-4.906470881737246E-2"/>
                  <c:y val="-2.48226950354610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B80-4400-9524-85855082368E}"/>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BentonSans Book"/>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SAMMURY!$F$146:$J$146</c:f>
              <c:numCache>
                <c:formatCode>mmm\-yy</c:formatCode>
                <c:ptCount val="5"/>
                <c:pt idx="0">
                  <c:v>41974</c:v>
                </c:pt>
                <c:pt idx="1">
                  <c:v>42339</c:v>
                </c:pt>
                <c:pt idx="2">
                  <c:v>42705</c:v>
                </c:pt>
                <c:pt idx="3">
                  <c:v>43070</c:v>
                </c:pt>
                <c:pt idx="4">
                  <c:v>43435</c:v>
                </c:pt>
              </c:numCache>
            </c:numRef>
          </c:cat>
          <c:val>
            <c:numRef>
              <c:f>SAMMURY!$F$148:$J$148</c:f>
              <c:numCache>
                <c:formatCode>0.0</c:formatCode>
                <c:ptCount val="5"/>
                <c:pt idx="0">
                  <c:v>38.194718498950529</c:v>
                </c:pt>
                <c:pt idx="1">
                  <c:v>13.651109767131642</c:v>
                </c:pt>
                <c:pt idx="2">
                  <c:v>6.2251379558103004</c:v>
                </c:pt>
                <c:pt idx="3">
                  <c:v>4.6388034811185586</c:v>
                </c:pt>
                <c:pt idx="4">
                  <c:v>17.169244343501354</c:v>
                </c:pt>
              </c:numCache>
            </c:numRef>
          </c:val>
          <c:smooth val="1"/>
          <c:extLst>
            <c:ext xmlns:c16="http://schemas.microsoft.com/office/drawing/2014/chart" uri="{C3380CC4-5D6E-409C-BE32-E72D297353CC}">
              <c16:uniqueId val="{00000006-9B80-4400-9524-85855082368E}"/>
            </c:ext>
          </c:extLst>
        </c:ser>
        <c:dLbls>
          <c:showLegendKey val="0"/>
          <c:showVal val="0"/>
          <c:showCatName val="0"/>
          <c:showSerName val="0"/>
          <c:showPercent val="0"/>
          <c:showBubbleSize val="0"/>
        </c:dLbls>
        <c:marker val="1"/>
        <c:smooth val="0"/>
        <c:axId val="1310626863"/>
        <c:axId val="1310624783"/>
      </c:lineChart>
      <c:catAx>
        <c:axId val="1310626447"/>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BentonSans Book"/>
                <a:ea typeface="+mn-ea"/>
                <a:cs typeface="+mn-cs"/>
              </a:defRPr>
            </a:pPr>
            <a:endParaRPr lang="en-US"/>
          </a:p>
        </c:txPr>
        <c:crossAx val="1310623535"/>
        <c:crosses val="autoZero"/>
        <c:auto val="0"/>
        <c:lblAlgn val="ctr"/>
        <c:lblOffset val="100"/>
        <c:noMultiLvlLbl val="0"/>
      </c:catAx>
      <c:valAx>
        <c:axId val="131062353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solidFill>
                    <a:latin typeface="BentonSans Book"/>
                    <a:ea typeface="+mn-ea"/>
                    <a:cs typeface="+mn-cs"/>
                  </a:defRPr>
                </a:pPr>
                <a:r>
                  <a:rPr lang="en-US" sz="800">
                    <a:solidFill>
                      <a:schemeClr val="tx1"/>
                    </a:solidFill>
                  </a:rPr>
                  <a:t>FRW Billion</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solidFill>
                  <a:latin typeface="BentonSans Book"/>
                  <a:ea typeface="+mn-ea"/>
                  <a:cs typeface="+mn-cs"/>
                </a:defRPr>
              </a:pPr>
              <a:endParaRPr lang="en-US"/>
            </a:p>
          </c:tx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BentonSans Book"/>
                <a:ea typeface="+mn-ea"/>
                <a:cs typeface="+mn-cs"/>
              </a:defRPr>
            </a:pPr>
            <a:endParaRPr lang="en-US"/>
          </a:p>
        </c:txPr>
        <c:crossAx val="1310626447"/>
        <c:crosses val="autoZero"/>
        <c:crossBetween val="between"/>
      </c:valAx>
      <c:valAx>
        <c:axId val="1310624783"/>
        <c:scaling>
          <c:orientation val="minMax"/>
        </c:scaling>
        <c:delete val="0"/>
        <c:axPos val="r"/>
        <c:title>
          <c:tx>
            <c:rich>
              <a:bodyPr rot="-5400000" spcFirstLastPara="1" vertOverflow="ellipsis" vert="horz" wrap="square" anchor="ctr" anchorCtr="1"/>
              <a:lstStyle/>
              <a:p>
                <a:pPr>
                  <a:defRPr sz="800" b="0" i="0" u="none" strike="noStrike" kern="1200" baseline="0">
                    <a:solidFill>
                      <a:schemeClr val="tx1"/>
                    </a:solidFill>
                    <a:latin typeface="BentonSans Book"/>
                    <a:ea typeface="+mn-ea"/>
                    <a:cs typeface="+mn-cs"/>
                  </a:defRPr>
                </a:pPr>
                <a:r>
                  <a:rPr lang="en-US" sz="800">
                    <a:solidFill>
                      <a:schemeClr val="tx1"/>
                    </a:solidFill>
                  </a:rPr>
                  <a:t>Percent</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solidFill>
                  <a:latin typeface="BentonSans Book"/>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BentonSans Book"/>
                <a:ea typeface="+mn-ea"/>
                <a:cs typeface="+mn-cs"/>
              </a:defRPr>
            </a:pPr>
            <a:endParaRPr lang="en-US"/>
          </a:p>
        </c:txPr>
        <c:crossAx val="1310626863"/>
        <c:crosses val="max"/>
        <c:crossBetween val="between"/>
      </c:valAx>
      <c:dateAx>
        <c:axId val="1310626863"/>
        <c:scaling>
          <c:orientation val="minMax"/>
        </c:scaling>
        <c:delete val="1"/>
        <c:axPos val="b"/>
        <c:numFmt formatCode="mmm\-yy" sourceLinked="1"/>
        <c:majorTickMark val="out"/>
        <c:minorTickMark val="none"/>
        <c:tickLblPos val="nextTo"/>
        <c:crossAx val="1310624783"/>
        <c:crosses val="autoZero"/>
        <c:auto val="1"/>
        <c:lblOffset val="100"/>
        <c:baseTimeUnit val="year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BentonSans Book"/>
              <a:ea typeface="+mn-ea"/>
              <a:cs typeface="+mn-cs"/>
            </a:defRPr>
          </a:pPr>
          <a:endParaRPr lang="en-US"/>
        </a:p>
      </c:txPr>
    </c:legend>
    <c:plotVisOnly val="1"/>
    <c:dispBlanksAs val="gap"/>
    <c:showDLblsOverMax val="0"/>
  </c:chart>
  <c:spPr>
    <a:noFill/>
    <a:ln w="9525" cap="flat" cmpd="sng" algn="ctr">
      <a:solidFill>
        <a:sysClr val="windowText" lastClr="000000"/>
      </a:solidFill>
      <a:round/>
    </a:ln>
    <a:effectLst/>
  </c:spPr>
  <c:txPr>
    <a:bodyPr/>
    <a:lstStyle/>
    <a:p>
      <a:pPr>
        <a:defRPr sz="1050">
          <a:latin typeface="BentonSans Book"/>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1" i="0" u="none" strike="noStrike" kern="1200" spc="0" baseline="0">
                <a:solidFill>
                  <a:schemeClr val="tx1"/>
                </a:solidFill>
                <a:latin typeface="BentonSans Book"/>
                <a:ea typeface="+mn-ea"/>
                <a:cs typeface="+mn-cs"/>
              </a:defRPr>
            </a:pPr>
            <a:r>
              <a:rPr lang="en-US" sz="800" b="1">
                <a:solidFill>
                  <a:schemeClr val="tx1"/>
                </a:solidFill>
              </a:rPr>
              <a:t>New Authorized Loans</a:t>
            </a:r>
          </a:p>
        </c:rich>
      </c:tx>
      <c:overlay val="0"/>
      <c:spPr>
        <a:noFill/>
        <a:ln>
          <a:noFill/>
        </a:ln>
        <a:effectLst/>
      </c:spPr>
      <c:txPr>
        <a:bodyPr rot="0" spcFirstLastPara="1" vertOverflow="ellipsis" vert="horz" wrap="square" anchor="ctr" anchorCtr="1"/>
        <a:lstStyle/>
        <a:p>
          <a:pPr>
            <a:defRPr sz="800" b="1" i="0" u="none" strike="noStrike" kern="1200" spc="0" baseline="0">
              <a:solidFill>
                <a:schemeClr val="tx1"/>
              </a:solidFill>
              <a:latin typeface="BentonSans Book"/>
              <a:ea typeface="+mn-ea"/>
              <a:cs typeface="+mn-cs"/>
            </a:defRPr>
          </a:pPr>
          <a:endParaRPr lang="en-US"/>
        </a:p>
      </c:txPr>
    </c:title>
    <c:autoTitleDeleted val="0"/>
    <c:plotArea>
      <c:layout/>
      <c:barChart>
        <c:barDir val="col"/>
        <c:grouping val="clustered"/>
        <c:varyColors val="0"/>
        <c:ser>
          <c:idx val="0"/>
          <c:order val="0"/>
          <c:tx>
            <c:strRef>
              <c:f>SAMMURY!$A$147</c:f>
              <c:strCache>
                <c:ptCount val="1"/>
                <c:pt idx="0">
                  <c:v>New loans (LA)</c:v>
                </c:pt>
              </c:strCache>
            </c:strRef>
          </c:tx>
          <c:spPr>
            <a:solidFill>
              <a:srgbClr val="92D050"/>
            </a:solidFill>
            <a:ln>
              <a:noFill/>
            </a:ln>
            <a:effectLst/>
          </c:spPr>
          <c:invertIfNegative val="0"/>
          <c:dLbls>
            <c:spPr>
              <a:noFill/>
              <a:ln>
                <a:solidFill>
                  <a:srgbClr val="5B9BD5">
                    <a:lumMod val="75000"/>
                  </a:srgbClr>
                </a:solidFill>
              </a:ln>
              <a:effectLst/>
            </c:spPr>
            <c:txPr>
              <a:bodyPr rot="0" spcFirstLastPara="1" vertOverflow="ellipsis" vert="horz" wrap="square" anchor="ctr" anchorCtr="1"/>
              <a:lstStyle/>
              <a:p>
                <a:pPr>
                  <a:defRPr sz="800" b="0" i="0" u="none" strike="noStrike" kern="1200" baseline="0">
                    <a:solidFill>
                      <a:schemeClr val="tx1"/>
                    </a:solidFill>
                    <a:latin typeface="BentonSans Book"/>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SAMMURY!$F$146:$J$146</c:f>
              <c:numCache>
                <c:formatCode>mmm\-yy</c:formatCode>
                <c:ptCount val="5"/>
                <c:pt idx="0">
                  <c:v>41974</c:v>
                </c:pt>
                <c:pt idx="1">
                  <c:v>42339</c:v>
                </c:pt>
                <c:pt idx="2">
                  <c:v>42705</c:v>
                </c:pt>
                <c:pt idx="3">
                  <c:v>43070</c:v>
                </c:pt>
                <c:pt idx="4">
                  <c:v>43435</c:v>
                </c:pt>
              </c:numCache>
            </c:numRef>
          </c:cat>
          <c:val>
            <c:numRef>
              <c:f>SAMMURY!$F$147:$J$147</c:f>
              <c:numCache>
                <c:formatCode>_(* #,##0_);_(* \(#,##0\);_(* "-"??_);_(@_)</c:formatCode>
                <c:ptCount val="5"/>
                <c:pt idx="0">
                  <c:v>652.95363566666674</c:v>
                </c:pt>
                <c:pt idx="1">
                  <c:v>742.08905320000019</c:v>
                </c:pt>
                <c:pt idx="2">
                  <c:v>788.28512051666667</c:v>
                </c:pt>
                <c:pt idx="3">
                  <c:v>824.85211812833336</c:v>
                </c:pt>
                <c:pt idx="4">
                  <c:v>966.47299376233332</c:v>
                </c:pt>
              </c:numCache>
            </c:numRef>
          </c:val>
          <c:extLst>
            <c:ext xmlns:c16="http://schemas.microsoft.com/office/drawing/2014/chart" uri="{C3380CC4-5D6E-409C-BE32-E72D297353CC}">
              <c16:uniqueId val="{00000000-9B80-4400-9524-85855082368E}"/>
            </c:ext>
          </c:extLst>
        </c:ser>
        <c:dLbls>
          <c:showLegendKey val="0"/>
          <c:showVal val="0"/>
          <c:showCatName val="0"/>
          <c:showSerName val="0"/>
          <c:showPercent val="0"/>
          <c:showBubbleSize val="0"/>
        </c:dLbls>
        <c:gapWidth val="150"/>
        <c:axId val="1310626447"/>
        <c:axId val="1310623535"/>
      </c:barChart>
      <c:lineChart>
        <c:grouping val="standard"/>
        <c:varyColors val="0"/>
        <c:ser>
          <c:idx val="1"/>
          <c:order val="1"/>
          <c:tx>
            <c:strRef>
              <c:f>SAMMURY!$A$148</c:f>
              <c:strCache>
                <c:ptCount val="1"/>
                <c:pt idx="0">
                  <c:v>Growth of New Loans (RA)</c:v>
                </c:pt>
              </c:strCache>
            </c:strRef>
          </c:tx>
          <c:spPr>
            <a:ln w="19050" cap="rnd">
              <a:solidFill>
                <a:srgbClr val="C00000"/>
              </a:solidFill>
              <a:round/>
            </a:ln>
            <a:effectLst/>
          </c:spPr>
          <c:marker>
            <c:symbol val="none"/>
          </c:marker>
          <c:dLbls>
            <c:dLbl>
              <c:idx val="0"/>
              <c:layout>
                <c:manualLayout>
                  <c:x val="-1.717264808608036E-2"/>
                  <c:y val="-2.48226950354609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B80-4400-9524-85855082368E}"/>
                </c:ext>
              </c:extLst>
            </c:dLbl>
            <c:dLbl>
              <c:idx val="1"/>
              <c:layout>
                <c:manualLayout>
                  <c:x val="-2.2079118967817654E-2"/>
                  <c:y val="3.546099290780141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B80-4400-9524-85855082368E}"/>
                </c:ext>
              </c:extLst>
            </c:dLbl>
            <c:dLbl>
              <c:idx val="2"/>
              <c:layout>
                <c:manualLayout>
                  <c:x val="-2.6985589849554854E-2"/>
                  <c:y val="-2.12765957446808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B80-4400-9524-85855082368E}"/>
                </c:ext>
              </c:extLst>
            </c:dLbl>
            <c:dLbl>
              <c:idx val="3"/>
              <c:layout>
                <c:manualLayout>
                  <c:x val="-3.9251767053897969E-2"/>
                  <c:y val="1.77304964539007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B80-4400-9524-85855082368E}"/>
                </c:ext>
              </c:extLst>
            </c:dLbl>
            <c:dLbl>
              <c:idx val="4"/>
              <c:layout>
                <c:manualLayout>
                  <c:x val="-4.906470881737246E-2"/>
                  <c:y val="-2.48226950354610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B80-4400-9524-85855082368E}"/>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BentonSans Book"/>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SAMMURY!$F$146:$J$146</c:f>
              <c:numCache>
                <c:formatCode>mmm\-yy</c:formatCode>
                <c:ptCount val="5"/>
                <c:pt idx="0">
                  <c:v>41974</c:v>
                </c:pt>
                <c:pt idx="1">
                  <c:v>42339</c:v>
                </c:pt>
                <c:pt idx="2">
                  <c:v>42705</c:v>
                </c:pt>
                <c:pt idx="3">
                  <c:v>43070</c:v>
                </c:pt>
                <c:pt idx="4">
                  <c:v>43435</c:v>
                </c:pt>
              </c:numCache>
            </c:numRef>
          </c:cat>
          <c:val>
            <c:numRef>
              <c:f>SAMMURY!$F$148:$J$148</c:f>
              <c:numCache>
                <c:formatCode>0.0</c:formatCode>
                <c:ptCount val="5"/>
                <c:pt idx="0">
                  <c:v>38.194718498950529</c:v>
                </c:pt>
                <c:pt idx="1">
                  <c:v>13.651109767131642</c:v>
                </c:pt>
                <c:pt idx="2">
                  <c:v>6.2251379558103004</c:v>
                </c:pt>
                <c:pt idx="3">
                  <c:v>4.6388034811185586</c:v>
                </c:pt>
                <c:pt idx="4">
                  <c:v>17.169244343501354</c:v>
                </c:pt>
              </c:numCache>
            </c:numRef>
          </c:val>
          <c:smooth val="1"/>
          <c:extLst>
            <c:ext xmlns:c16="http://schemas.microsoft.com/office/drawing/2014/chart" uri="{C3380CC4-5D6E-409C-BE32-E72D297353CC}">
              <c16:uniqueId val="{00000006-9B80-4400-9524-85855082368E}"/>
            </c:ext>
          </c:extLst>
        </c:ser>
        <c:dLbls>
          <c:showLegendKey val="0"/>
          <c:showVal val="0"/>
          <c:showCatName val="0"/>
          <c:showSerName val="0"/>
          <c:showPercent val="0"/>
          <c:showBubbleSize val="0"/>
        </c:dLbls>
        <c:marker val="1"/>
        <c:smooth val="0"/>
        <c:axId val="1310626863"/>
        <c:axId val="1310624783"/>
      </c:lineChart>
      <c:catAx>
        <c:axId val="1310626447"/>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BentonSans Book"/>
                <a:ea typeface="+mn-ea"/>
                <a:cs typeface="+mn-cs"/>
              </a:defRPr>
            </a:pPr>
            <a:endParaRPr lang="en-US"/>
          </a:p>
        </c:txPr>
        <c:crossAx val="1310623535"/>
        <c:crosses val="autoZero"/>
        <c:auto val="0"/>
        <c:lblAlgn val="ctr"/>
        <c:lblOffset val="100"/>
        <c:noMultiLvlLbl val="0"/>
      </c:catAx>
      <c:valAx>
        <c:axId val="131062353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solidFill>
                    <a:latin typeface="BentonSans Book"/>
                    <a:ea typeface="+mn-ea"/>
                    <a:cs typeface="+mn-cs"/>
                  </a:defRPr>
                </a:pPr>
                <a:r>
                  <a:rPr lang="en-US" sz="800">
                    <a:solidFill>
                      <a:schemeClr val="tx1"/>
                    </a:solidFill>
                  </a:rPr>
                  <a:t>FRW Billion</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solidFill>
                  <a:latin typeface="BentonSans Book"/>
                  <a:ea typeface="+mn-ea"/>
                  <a:cs typeface="+mn-cs"/>
                </a:defRPr>
              </a:pPr>
              <a:endParaRPr lang="en-US"/>
            </a:p>
          </c:tx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BentonSans Book"/>
                <a:ea typeface="+mn-ea"/>
                <a:cs typeface="+mn-cs"/>
              </a:defRPr>
            </a:pPr>
            <a:endParaRPr lang="en-US"/>
          </a:p>
        </c:txPr>
        <c:crossAx val="1310626447"/>
        <c:crosses val="autoZero"/>
        <c:crossBetween val="between"/>
      </c:valAx>
      <c:valAx>
        <c:axId val="1310624783"/>
        <c:scaling>
          <c:orientation val="minMax"/>
        </c:scaling>
        <c:delete val="0"/>
        <c:axPos val="r"/>
        <c:title>
          <c:tx>
            <c:rich>
              <a:bodyPr rot="-5400000" spcFirstLastPara="1" vertOverflow="ellipsis" vert="horz" wrap="square" anchor="ctr" anchorCtr="1"/>
              <a:lstStyle/>
              <a:p>
                <a:pPr>
                  <a:defRPr sz="800" b="0" i="0" u="none" strike="noStrike" kern="1200" baseline="0">
                    <a:solidFill>
                      <a:schemeClr val="tx1"/>
                    </a:solidFill>
                    <a:latin typeface="BentonSans Book"/>
                    <a:ea typeface="+mn-ea"/>
                    <a:cs typeface="+mn-cs"/>
                  </a:defRPr>
                </a:pPr>
                <a:r>
                  <a:rPr lang="en-US" sz="800">
                    <a:solidFill>
                      <a:schemeClr val="tx1"/>
                    </a:solidFill>
                  </a:rPr>
                  <a:t>Percent</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solidFill>
                  <a:latin typeface="BentonSans Book"/>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BentonSans Book"/>
                <a:ea typeface="+mn-ea"/>
                <a:cs typeface="+mn-cs"/>
              </a:defRPr>
            </a:pPr>
            <a:endParaRPr lang="en-US"/>
          </a:p>
        </c:txPr>
        <c:crossAx val="1310626863"/>
        <c:crosses val="max"/>
        <c:crossBetween val="between"/>
      </c:valAx>
      <c:dateAx>
        <c:axId val="1310626863"/>
        <c:scaling>
          <c:orientation val="minMax"/>
        </c:scaling>
        <c:delete val="1"/>
        <c:axPos val="b"/>
        <c:numFmt formatCode="mmm\-yy" sourceLinked="1"/>
        <c:majorTickMark val="out"/>
        <c:minorTickMark val="none"/>
        <c:tickLblPos val="nextTo"/>
        <c:crossAx val="1310624783"/>
        <c:crosses val="autoZero"/>
        <c:auto val="1"/>
        <c:lblOffset val="100"/>
        <c:baseTimeUnit val="year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BentonSans Book"/>
              <a:ea typeface="+mn-ea"/>
              <a:cs typeface="+mn-cs"/>
            </a:defRPr>
          </a:pPr>
          <a:endParaRPr lang="en-US"/>
        </a:p>
      </c:txPr>
    </c:legend>
    <c:plotVisOnly val="1"/>
    <c:dispBlanksAs val="gap"/>
    <c:showDLblsOverMax val="0"/>
  </c:chart>
  <c:spPr>
    <a:noFill/>
    <a:ln w="9525" cap="flat" cmpd="sng" algn="ctr">
      <a:solidFill>
        <a:sysClr val="windowText" lastClr="000000"/>
      </a:solidFill>
      <a:round/>
    </a:ln>
    <a:effectLst/>
  </c:spPr>
  <c:txPr>
    <a:bodyPr/>
    <a:lstStyle/>
    <a:p>
      <a:pPr>
        <a:defRPr sz="1050">
          <a:latin typeface="BentonSans Book"/>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1" i="0" u="none" strike="noStrike" kern="1200" spc="0" baseline="0">
                <a:solidFill>
                  <a:sysClr val="windowText" lastClr="000000"/>
                </a:solidFill>
                <a:latin typeface="BentonSans Book" panose="02000503040000020004"/>
                <a:ea typeface="+mn-ea"/>
                <a:cs typeface="+mn-cs"/>
              </a:defRPr>
            </a:pPr>
            <a:r>
              <a:rPr lang="en-US" sz="800" b="1">
                <a:solidFill>
                  <a:sysClr val="windowText" lastClr="000000"/>
                </a:solidFill>
              </a:rPr>
              <a:t>New Authorised Loans</a:t>
            </a:r>
          </a:p>
        </c:rich>
      </c:tx>
      <c:overlay val="0"/>
      <c:spPr>
        <a:noFill/>
        <a:ln>
          <a:noFill/>
        </a:ln>
        <a:effectLst/>
      </c:spPr>
      <c:txPr>
        <a:bodyPr rot="0" spcFirstLastPara="1" vertOverflow="ellipsis" vert="horz" wrap="square" anchor="ctr" anchorCtr="1"/>
        <a:lstStyle/>
        <a:p>
          <a:pPr>
            <a:defRPr sz="800" b="1" i="0" u="none" strike="noStrike" kern="1200" spc="0" baseline="0">
              <a:solidFill>
                <a:sysClr val="windowText" lastClr="000000"/>
              </a:solidFill>
              <a:latin typeface="BentonSans Book" panose="02000503040000020004"/>
              <a:ea typeface="+mn-ea"/>
              <a:cs typeface="+mn-cs"/>
            </a:defRPr>
          </a:pPr>
          <a:endParaRPr lang="en-US"/>
        </a:p>
      </c:txPr>
    </c:title>
    <c:autoTitleDeleted val="0"/>
    <c:plotArea>
      <c:layout/>
      <c:lineChart>
        <c:grouping val="standard"/>
        <c:varyColors val="0"/>
        <c:ser>
          <c:idx val="0"/>
          <c:order val="0"/>
          <c:tx>
            <c:strRef>
              <c:f>SAMMURY!$A$51</c:f>
              <c:strCache>
                <c:ptCount val="1"/>
                <c:pt idx="0">
                  <c:v>2016</c:v>
                </c:pt>
              </c:strCache>
            </c:strRef>
          </c:tx>
          <c:spPr>
            <a:ln w="19050" cap="rnd">
              <a:solidFill>
                <a:srgbClr val="44546A"/>
              </a:solidFill>
              <a:round/>
            </a:ln>
            <a:effectLst/>
          </c:spPr>
          <c:marker>
            <c:symbol val="none"/>
          </c:marker>
          <c:dLbls>
            <c:dLbl>
              <c:idx val="0"/>
              <c:layout>
                <c:manualLayout>
                  <c:x val="-8.4326552930883661E-2"/>
                  <c:y val="-3.47568533100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49D-4876-B760-74F9C4A38E03}"/>
                </c:ext>
              </c:extLst>
            </c:dLbl>
            <c:dLbl>
              <c:idx val="1"/>
              <c:layout>
                <c:manualLayout>
                  <c:x val="-5.9326552930883639E-2"/>
                  <c:y val="-3.93864829396325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49D-4876-B760-74F9C4A38E03}"/>
                </c:ext>
              </c:extLst>
            </c:dLbl>
            <c:dLbl>
              <c:idx val="2"/>
              <c:layout>
                <c:manualLayout>
                  <c:x val="-4.8215441819772525E-2"/>
                  <c:y val="2.54283318751822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49D-4876-B760-74F9C4A38E03}"/>
                </c:ext>
              </c:extLst>
            </c:dLbl>
            <c:dLbl>
              <c:idx val="3"/>
              <c:layout>
                <c:manualLayout>
                  <c:x val="-4.5437664041994751E-2"/>
                  <c:y val="3.46875911344415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49D-4876-B760-74F9C4A38E03}"/>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BentonSans Book" panose="02000503040000020004"/>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SAMMURY!$B$50:$E$50</c:f>
              <c:strCache>
                <c:ptCount val="4"/>
                <c:pt idx="0">
                  <c:v>Q1</c:v>
                </c:pt>
                <c:pt idx="1">
                  <c:v>Q2</c:v>
                </c:pt>
                <c:pt idx="2">
                  <c:v>Q3</c:v>
                </c:pt>
                <c:pt idx="3">
                  <c:v>Q4</c:v>
                </c:pt>
              </c:strCache>
            </c:strRef>
          </c:cat>
          <c:val>
            <c:numRef>
              <c:f>SAMMURY!$B$51:$E$51</c:f>
              <c:numCache>
                <c:formatCode>_(* #,##0_);_(* \(#,##0\);_(* "-"??_);_(@_)</c:formatCode>
                <c:ptCount val="4"/>
                <c:pt idx="0">
                  <c:v>199.46833100000001</c:v>
                </c:pt>
                <c:pt idx="1">
                  <c:v>227.24804835000003</c:v>
                </c:pt>
                <c:pt idx="2">
                  <c:v>149.53832600000001</c:v>
                </c:pt>
                <c:pt idx="3">
                  <c:v>212.03041516666664</c:v>
                </c:pt>
              </c:numCache>
            </c:numRef>
          </c:val>
          <c:smooth val="1"/>
          <c:extLst>
            <c:ext xmlns:c16="http://schemas.microsoft.com/office/drawing/2014/chart" uri="{C3380CC4-5D6E-409C-BE32-E72D297353CC}">
              <c16:uniqueId val="{00000004-449D-4876-B760-74F9C4A38E03}"/>
            </c:ext>
          </c:extLst>
        </c:ser>
        <c:ser>
          <c:idx val="1"/>
          <c:order val="1"/>
          <c:tx>
            <c:strRef>
              <c:f>SAMMURY!$A$52</c:f>
              <c:strCache>
                <c:ptCount val="1"/>
                <c:pt idx="0">
                  <c:v>2017</c:v>
                </c:pt>
              </c:strCache>
            </c:strRef>
          </c:tx>
          <c:spPr>
            <a:ln w="19050" cap="rnd">
              <a:solidFill>
                <a:srgbClr val="ED7D31">
                  <a:lumMod val="75000"/>
                </a:srgbClr>
              </a:solidFill>
              <a:round/>
            </a:ln>
            <a:effectLst/>
          </c:spPr>
          <c:marker>
            <c:symbol val="none"/>
          </c:marker>
          <c:dLbls>
            <c:dLbl>
              <c:idx val="0"/>
              <c:layout>
                <c:manualLayout>
                  <c:x val="-5.0993219597550335E-2"/>
                  <c:y val="-4.62962962962963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49D-4876-B760-74F9C4A38E03}"/>
                </c:ext>
              </c:extLst>
            </c:dLbl>
            <c:dLbl>
              <c:idx val="1"/>
              <c:layout>
                <c:manualLayout>
                  <c:x val="-5.6548775153105864E-2"/>
                  <c:y val="2.77777777777776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49D-4876-B760-74F9C4A38E03}"/>
                </c:ext>
              </c:extLst>
            </c:dLbl>
            <c:dLbl>
              <c:idx val="3"/>
              <c:layout>
                <c:manualLayout>
                  <c:x val="-5.0993219597550307E-2"/>
                  <c:y val="-4.62962962962963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49D-4876-B760-74F9C4A38E03}"/>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BentonSans Book" panose="02000503040000020004"/>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SAMMURY!$B$50:$E$50</c:f>
              <c:strCache>
                <c:ptCount val="4"/>
                <c:pt idx="0">
                  <c:v>Q1</c:v>
                </c:pt>
                <c:pt idx="1">
                  <c:v>Q2</c:v>
                </c:pt>
                <c:pt idx="2">
                  <c:v>Q3</c:v>
                </c:pt>
                <c:pt idx="3">
                  <c:v>Q4</c:v>
                </c:pt>
              </c:strCache>
            </c:strRef>
          </c:cat>
          <c:val>
            <c:numRef>
              <c:f>SAMMURY!$B$52:$E$52</c:f>
              <c:numCache>
                <c:formatCode>_(* #,##0_);_(* \(#,##0\);_(* "-"??_);_(@_)</c:formatCode>
                <c:ptCount val="4"/>
                <c:pt idx="0">
                  <c:v>213.74004249999999</c:v>
                </c:pt>
                <c:pt idx="1">
                  <c:v>202.93931549999999</c:v>
                </c:pt>
                <c:pt idx="2">
                  <c:v>192.47770825000001</c:v>
                </c:pt>
                <c:pt idx="3">
                  <c:v>215.69505187833337</c:v>
                </c:pt>
              </c:numCache>
            </c:numRef>
          </c:val>
          <c:smooth val="1"/>
          <c:extLst>
            <c:ext xmlns:c16="http://schemas.microsoft.com/office/drawing/2014/chart" uri="{C3380CC4-5D6E-409C-BE32-E72D297353CC}">
              <c16:uniqueId val="{00000008-449D-4876-B760-74F9C4A38E03}"/>
            </c:ext>
          </c:extLst>
        </c:ser>
        <c:ser>
          <c:idx val="2"/>
          <c:order val="2"/>
          <c:tx>
            <c:strRef>
              <c:f>SAMMURY!$A$53</c:f>
              <c:strCache>
                <c:ptCount val="1"/>
                <c:pt idx="0">
                  <c:v>2018</c:v>
                </c:pt>
              </c:strCache>
            </c:strRef>
          </c:tx>
          <c:spPr>
            <a:ln w="19050" cap="rnd">
              <a:solidFill>
                <a:srgbClr val="70AD47"/>
              </a:solidFill>
              <a:round/>
            </a:ln>
            <a:effectLst/>
          </c:spPr>
          <c:marker>
            <c:symbol val="none"/>
          </c:marker>
          <c:dLbls>
            <c:dLbl>
              <c:idx val="0"/>
              <c:layout>
                <c:manualLayout>
                  <c:x val="-8.7104330708661443E-2"/>
                  <c:y val="2.349445902595509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49D-4876-B760-74F9C4A38E03}"/>
                </c:ext>
              </c:extLst>
            </c:dLbl>
            <c:dLbl>
              <c:idx val="1"/>
              <c:layout>
                <c:manualLayout>
                  <c:x val="-6.210433070866142E-2"/>
                  <c:y val="-3.00579615048118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49D-4876-B760-74F9C4A38E03}"/>
                </c:ext>
              </c:extLst>
            </c:dLbl>
            <c:dLbl>
              <c:idx val="2"/>
              <c:layout>
                <c:manualLayout>
                  <c:x val="-5.3770997375328082E-2"/>
                  <c:y val="-4.85764800233304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49D-4876-B760-74F9C4A38E03}"/>
                </c:ext>
              </c:extLst>
            </c:dLbl>
            <c:dLbl>
              <c:idx val="3"/>
              <c:layout>
                <c:manualLayout>
                  <c:x val="-4.5437664041994751E-2"/>
                  <c:y val="-3.46875911344415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49D-4876-B760-74F9C4A38E03}"/>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BentonSans Book" panose="02000503040000020004"/>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SAMMURY!$B$50:$E$50</c:f>
              <c:strCache>
                <c:ptCount val="4"/>
                <c:pt idx="0">
                  <c:v>Q1</c:v>
                </c:pt>
                <c:pt idx="1">
                  <c:v>Q2</c:v>
                </c:pt>
                <c:pt idx="2">
                  <c:v>Q3</c:v>
                </c:pt>
                <c:pt idx="3">
                  <c:v>Q4</c:v>
                </c:pt>
              </c:strCache>
            </c:strRef>
          </c:cat>
          <c:val>
            <c:numRef>
              <c:f>SAMMURY!$B$53:$E$53</c:f>
              <c:numCache>
                <c:formatCode>_(* #,##0_);_(* \(#,##0\);_(* "-"??_);_(@_)</c:formatCode>
                <c:ptCount val="4"/>
                <c:pt idx="0">
                  <c:v>197.90741791666667</c:v>
                </c:pt>
                <c:pt idx="1">
                  <c:v>204.83987675</c:v>
                </c:pt>
                <c:pt idx="2">
                  <c:v>208.00825683333332</c:v>
                </c:pt>
                <c:pt idx="3">
                  <c:v>355.71744226233341</c:v>
                </c:pt>
              </c:numCache>
            </c:numRef>
          </c:val>
          <c:smooth val="1"/>
          <c:extLst>
            <c:ext xmlns:c16="http://schemas.microsoft.com/office/drawing/2014/chart" uri="{C3380CC4-5D6E-409C-BE32-E72D297353CC}">
              <c16:uniqueId val="{0000000D-449D-4876-B760-74F9C4A38E03}"/>
            </c:ext>
          </c:extLst>
        </c:ser>
        <c:dLbls>
          <c:showLegendKey val="0"/>
          <c:showVal val="0"/>
          <c:showCatName val="0"/>
          <c:showSerName val="0"/>
          <c:showPercent val="0"/>
          <c:showBubbleSize val="0"/>
        </c:dLbls>
        <c:smooth val="0"/>
        <c:axId val="228159976"/>
        <c:axId val="228162328"/>
      </c:lineChart>
      <c:catAx>
        <c:axId val="228159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BentonSans Book" panose="02000503040000020004"/>
                <a:ea typeface="+mn-ea"/>
                <a:cs typeface="+mn-cs"/>
              </a:defRPr>
            </a:pPr>
            <a:endParaRPr lang="en-US"/>
          </a:p>
        </c:txPr>
        <c:crossAx val="228162328"/>
        <c:crosses val="autoZero"/>
        <c:auto val="1"/>
        <c:lblAlgn val="ctr"/>
        <c:lblOffset val="100"/>
        <c:noMultiLvlLbl val="0"/>
      </c:catAx>
      <c:valAx>
        <c:axId val="228162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BentonSans Book" panose="02000503040000020004"/>
                    <a:ea typeface="+mn-ea"/>
                    <a:cs typeface="+mn-cs"/>
                  </a:defRPr>
                </a:pPr>
                <a:r>
                  <a:rPr lang="en-US" sz="800"/>
                  <a:t>FRW Billion</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BentonSans Book" panose="02000503040000020004"/>
                  <a:ea typeface="+mn-ea"/>
                  <a:cs typeface="+mn-cs"/>
                </a:defRPr>
              </a:pPr>
              <a:endParaRPr lang="en-US"/>
            </a:p>
          </c:tx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BentonSans Book" panose="02000503040000020004"/>
                <a:ea typeface="+mn-ea"/>
                <a:cs typeface="+mn-cs"/>
              </a:defRPr>
            </a:pPr>
            <a:endParaRPr lang="en-US"/>
          </a:p>
        </c:txPr>
        <c:crossAx val="228159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BentonSans Book" panose="02000503040000020004"/>
              <a:ea typeface="+mn-ea"/>
              <a:cs typeface="+mn-cs"/>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solidFill>
            <a:sysClr val="windowText" lastClr="000000"/>
          </a:solidFill>
          <a:latin typeface="BentonSans Book" panose="02000503040000020004"/>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1" i="0" u="none" strike="noStrike" kern="1200" spc="0" baseline="0">
                <a:solidFill>
                  <a:sysClr val="windowText" lastClr="000000"/>
                </a:solidFill>
                <a:latin typeface="BentonSans Book" panose="02000503040000020004"/>
                <a:ea typeface="+mn-ea"/>
                <a:cs typeface="+mn-cs"/>
              </a:defRPr>
            </a:pPr>
            <a:r>
              <a:rPr lang="en-US" sz="800" b="1">
                <a:solidFill>
                  <a:sysClr val="windowText" lastClr="000000"/>
                </a:solidFill>
              </a:rPr>
              <a:t>New Authorised Loans</a:t>
            </a:r>
          </a:p>
        </c:rich>
      </c:tx>
      <c:overlay val="0"/>
      <c:spPr>
        <a:noFill/>
        <a:ln>
          <a:noFill/>
        </a:ln>
        <a:effectLst/>
      </c:spPr>
      <c:txPr>
        <a:bodyPr rot="0" spcFirstLastPara="1" vertOverflow="ellipsis" vert="horz" wrap="square" anchor="ctr" anchorCtr="1"/>
        <a:lstStyle/>
        <a:p>
          <a:pPr>
            <a:defRPr sz="800" b="1" i="0" u="none" strike="noStrike" kern="1200" spc="0" baseline="0">
              <a:solidFill>
                <a:sysClr val="windowText" lastClr="000000"/>
              </a:solidFill>
              <a:latin typeface="BentonSans Book" panose="02000503040000020004"/>
              <a:ea typeface="+mn-ea"/>
              <a:cs typeface="+mn-cs"/>
            </a:defRPr>
          </a:pPr>
          <a:endParaRPr lang="en-US"/>
        </a:p>
      </c:txPr>
    </c:title>
    <c:autoTitleDeleted val="0"/>
    <c:plotArea>
      <c:layout/>
      <c:lineChart>
        <c:grouping val="standard"/>
        <c:varyColors val="0"/>
        <c:ser>
          <c:idx val="0"/>
          <c:order val="0"/>
          <c:tx>
            <c:strRef>
              <c:f>SAMMURY!$A$51</c:f>
              <c:strCache>
                <c:ptCount val="1"/>
                <c:pt idx="0">
                  <c:v>2016</c:v>
                </c:pt>
              </c:strCache>
            </c:strRef>
          </c:tx>
          <c:spPr>
            <a:ln w="19050" cap="rnd">
              <a:solidFill>
                <a:srgbClr val="44546A"/>
              </a:solidFill>
              <a:round/>
            </a:ln>
            <a:effectLst/>
          </c:spPr>
          <c:marker>
            <c:symbol val="none"/>
          </c:marker>
          <c:dLbls>
            <c:dLbl>
              <c:idx val="0"/>
              <c:layout>
                <c:manualLayout>
                  <c:x val="-8.4326552930883661E-2"/>
                  <c:y val="-3.47568533100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49D-4876-B760-74F9C4A38E03}"/>
                </c:ext>
              </c:extLst>
            </c:dLbl>
            <c:dLbl>
              <c:idx val="1"/>
              <c:layout>
                <c:manualLayout>
                  <c:x val="-5.9326552930883639E-2"/>
                  <c:y val="-3.93864829396325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49D-4876-B760-74F9C4A38E03}"/>
                </c:ext>
              </c:extLst>
            </c:dLbl>
            <c:dLbl>
              <c:idx val="2"/>
              <c:layout>
                <c:manualLayout>
                  <c:x val="-4.8215441819772525E-2"/>
                  <c:y val="2.54283318751822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49D-4876-B760-74F9C4A38E03}"/>
                </c:ext>
              </c:extLst>
            </c:dLbl>
            <c:dLbl>
              <c:idx val="3"/>
              <c:layout>
                <c:manualLayout>
                  <c:x val="-4.5437664041994751E-2"/>
                  <c:y val="3.46875911344415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49D-4876-B760-74F9C4A38E03}"/>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BentonSans Book" panose="02000503040000020004"/>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SAMMURY!$B$50:$E$50</c:f>
              <c:strCache>
                <c:ptCount val="4"/>
                <c:pt idx="0">
                  <c:v>Q1</c:v>
                </c:pt>
                <c:pt idx="1">
                  <c:v>Q2</c:v>
                </c:pt>
                <c:pt idx="2">
                  <c:v>Q3</c:v>
                </c:pt>
                <c:pt idx="3">
                  <c:v>Q4</c:v>
                </c:pt>
              </c:strCache>
            </c:strRef>
          </c:cat>
          <c:val>
            <c:numRef>
              <c:f>SAMMURY!$B$51:$E$51</c:f>
              <c:numCache>
                <c:formatCode>_(* #,##0_);_(* \(#,##0\);_(* "-"??_);_(@_)</c:formatCode>
                <c:ptCount val="4"/>
                <c:pt idx="0">
                  <c:v>199.46833100000001</c:v>
                </c:pt>
                <c:pt idx="1">
                  <c:v>227.24804835000003</c:v>
                </c:pt>
                <c:pt idx="2">
                  <c:v>149.53832600000001</c:v>
                </c:pt>
                <c:pt idx="3">
                  <c:v>212.03041516666664</c:v>
                </c:pt>
              </c:numCache>
            </c:numRef>
          </c:val>
          <c:smooth val="1"/>
          <c:extLst>
            <c:ext xmlns:c16="http://schemas.microsoft.com/office/drawing/2014/chart" uri="{C3380CC4-5D6E-409C-BE32-E72D297353CC}">
              <c16:uniqueId val="{00000004-449D-4876-B760-74F9C4A38E03}"/>
            </c:ext>
          </c:extLst>
        </c:ser>
        <c:ser>
          <c:idx val="1"/>
          <c:order val="1"/>
          <c:tx>
            <c:strRef>
              <c:f>SAMMURY!$A$52</c:f>
              <c:strCache>
                <c:ptCount val="1"/>
                <c:pt idx="0">
                  <c:v>2017</c:v>
                </c:pt>
              </c:strCache>
            </c:strRef>
          </c:tx>
          <c:spPr>
            <a:ln w="19050" cap="rnd">
              <a:solidFill>
                <a:srgbClr val="ED7D31">
                  <a:lumMod val="75000"/>
                </a:srgbClr>
              </a:solidFill>
              <a:round/>
            </a:ln>
            <a:effectLst/>
          </c:spPr>
          <c:marker>
            <c:symbol val="none"/>
          </c:marker>
          <c:dLbls>
            <c:dLbl>
              <c:idx val="0"/>
              <c:layout>
                <c:manualLayout>
                  <c:x val="-5.0993219597550335E-2"/>
                  <c:y val="-4.62962962962963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49D-4876-B760-74F9C4A38E03}"/>
                </c:ext>
              </c:extLst>
            </c:dLbl>
            <c:dLbl>
              <c:idx val="1"/>
              <c:layout>
                <c:manualLayout>
                  <c:x val="-5.6548775153105864E-2"/>
                  <c:y val="2.77777777777776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49D-4876-B760-74F9C4A38E03}"/>
                </c:ext>
              </c:extLst>
            </c:dLbl>
            <c:dLbl>
              <c:idx val="3"/>
              <c:layout>
                <c:manualLayout>
                  <c:x val="-5.0993219597550307E-2"/>
                  <c:y val="-4.62962962962963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49D-4876-B760-74F9C4A38E03}"/>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BentonSans Book" panose="02000503040000020004"/>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SAMMURY!$B$50:$E$50</c:f>
              <c:strCache>
                <c:ptCount val="4"/>
                <c:pt idx="0">
                  <c:v>Q1</c:v>
                </c:pt>
                <c:pt idx="1">
                  <c:v>Q2</c:v>
                </c:pt>
                <c:pt idx="2">
                  <c:v>Q3</c:v>
                </c:pt>
                <c:pt idx="3">
                  <c:v>Q4</c:v>
                </c:pt>
              </c:strCache>
            </c:strRef>
          </c:cat>
          <c:val>
            <c:numRef>
              <c:f>SAMMURY!$B$52:$E$52</c:f>
              <c:numCache>
                <c:formatCode>_(* #,##0_);_(* \(#,##0\);_(* "-"??_);_(@_)</c:formatCode>
                <c:ptCount val="4"/>
                <c:pt idx="0">
                  <c:v>213.74004249999999</c:v>
                </c:pt>
                <c:pt idx="1">
                  <c:v>202.93931549999999</c:v>
                </c:pt>
                <c:pt idx="2">
                  <c:v>192.47770825000001</c:v>
                </c:pt>
                <c:pt idx="3">
                  <c:v>215.69505187833337</c:v>
                </c:pt>
              </c:numCache>
            </c:numRef>
          </c:val>
          <c:smooth val="1"/>
          <c:extLst>
            <c:ext xmlns:c16="http://schemas.microsoft.com/office/drawing/2014/chart" uri="{C3380CC4-5D6E-409C-BE32-E72D297353CC}">
              <c16:uniqueId val="{00000008-449D-4876-B760-74F9C4A38E03}"/>
            </c:ext>
          </c:extLst>
        </c:ser>
        <c:ser>
          <c:idx val="2"/>
          <c:order val="2"/>
          <c:tx>
            <c:strRef>
              <c:f>SAMMURY!$A$53</c:f>
              <c:strCache>
                <c:ptCount val="1"/>
                <c:pt idx="0">
                  <c:v>2018</c:v>
                </c:pt>
              </c:strCache>
            </c:strRef>
          </c:tx>
          <c:spPr>
            <a:ln w="19050" cap="rnd">
              <a:solidFill>
                <a:srgbClr val="70AD47"/>
              </a:solidFill>
              <a:round/>
            </a:ln>
            <a:effectLst/>
          </c:spPr>
          <c:marker>
            <c:symbol val="none"/>
          </c:marker>
          <c:dLbls>
            <c:dLbl>
              <c:idx val="0"/>
              <c:layout>
                <c:manualLayout>
                  <c:x val="-8.7104330708661443E-2"/>
                  <c:y val="2.349445902595509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49D-4876-B760-74F9C4A38E03}"/>
                </c:ext>
              </c:extLst>
            </c:dLbl>
            <c:dLbl>
              <c:idx val="1"/>
              <c:layout>
                <c:manualLayout>
                  <c:x val="-6.210433070866142E-2"/>
                  <c:y val="-3.00579615048118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49D-4876-B760-74F9C4A38E03}"/>
                </c:ext>
              </c:extLst>
            </c:dLbl>
            <c:dLbl>
              <c:idx val="2"/>
              <c:layout>
                <c:manualLayout>
                  <c:x val="-5.3770997375328082E-2"/>
                  <c:y val="-4.85764800233304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49D-4876-B760-74F9C4A38E03}"/>
                </c:ext>
              </c:extLst>
            </c:dLbl>
            <c:dLbl>
              <c:idx val="3"/>
              <c:layout>
                <c:manualLayout>
                  <c:x val="-4.5437664041994751E-2"/>
                  <c:y val="-3.46875911344415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49D-4876-B760-74F9C4A38E03}"/>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BentonSans Book" panose="02000503040000020004"/>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SAMMURY!$B$50:$E$50</c:f>
              <c:strCache>
                <c:ptCount val="4"/>
                <c:pt idx="0">
                  <c:v>Q1</c:v>
                </c:pt>
                <c:pt idx="1">
                  <c:v>Q2</c:v>
                </c:pt>
                <c:pt idx="2">
                  <c:v>Q3</c:v>
                </c:pt>
                <c:pt idx="3">
                  <c:v>Q4</c:v>
                </c:pt>
              </c:strCache>
            </c:strRef>
          </c:cat>
          <c:val>
            <c:numRef>
              <c:f>SAMMURY!$B$53:$E$53</c:f>
              <c:numCache>
                <c:formatCode>_(* #,##0_);_(* \(#,##0\);_(* "-"??_);_(@_)</c:formatCode>
                <c:ptCount val="4"/>
                <c:pt idx="0">
                  <c:v>197.90741791666667</c:v>
                </c:pt>
                <c:pt idx="1">
                  <c:v>204.83987675</c:v>
                </c:pt>
                <c:pt idx="2">
                  <c:v>208.00825683333332</c:v>
                </c:pt>
                <c:pt idx="3">
                  <c:v>355.71744226233341</c:v>
                </c:pt>
              </c:numCache>
            </c:numRef>
          </c:val>
          <c:smooth val="1"/>
          <c:extLst>
            <c:ext xmlns:c16="http://schemas.microsoft.com/office/drawing/2014/chart" uri="{C3380CC4-5D6E-409C-BE32-E72D297353CC}">
              <c16:uniqueId val="{0000000D-449D-4876-B760-74F9C4A38E03}"/>
            </c:ext>
          </c:extLst>
        </c:ser>
        <c:dLbls>
          <c:showLegendKey val="0"/>
          <c:showVal val="0"/>
          <c:showCatName val="0"/>
          <c:showSerName val="0"/>
          <c:showPercent val="0"/>
          <c:showBubbleSize val="0"/>
        </c:dLbls>
        <c:smooth val="0"/>
        <c:axId val="228159976"/>
        <c:axId val="228162328"/>
      </c:lineChart>
      <c:catAx>
        <c:axId val="228159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BentonSans Book" panose="02000503040000020004"/>
                <a:ea typeface="+mn-ea"/>
                <a:cs typeface="+mn-cs"/>
              </a:defRPr>
            </a:pPr>
            <a:endParaRPr lang="en-US"/>
          </a:p>
        </c:txPr>
        <c:crossAx val="228162328"/>
        <c:crosses val="autoZero"/>
        <c:auto val="1"/>
        <c:lblAlgn val="ctr"/>
        <c:lblOffset val="100"/>
        <c:noMultiLvlLbl val="0"/>
      </c:catAx>
      <c:valAx>
        <c:axId val="228162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BentonSans Book" panose="02000503040000020004"/>
                    <a:ea typeface="+mn-ea"/>
                    <a:cs typeface="+mn-cs"/>
                  </a:defRPr>
                </a:pPr>
                <a:r>
                  <a:rPr lang="en-US" sz="800"/>
                  <a:t>FRW Billion</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BentonSans Book" panose="02000503040000020004"/>
                  <a:ea typeface="+mn-ea"/>
                  <a:cs typeface="+mn-cs"/>
                </a:defRPr>
              </a:pPr>
              <a:endParaRPr lang="en-US"/>
            </a:p>
          </c:tx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BentonSans Book" panose="02000503040000020004"/>
                <a:ea typeface="+mn-ea"/>
                <a:cs typeface="+mn-cs"/>
              </a:defRPr>
            </a:pPr>
            <a:endParaRPr lang="en-US"/>
          </a:p>
        </c:txPr>
        <c:crossAx val="228159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BentonSans Book" panose="02000503040000020004"/>
              <a:ea typeface="+mn-ea"/>
              <a:cs typeface="+mn-cs"/>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solidFill>
            <a:sysClr val="windowText" lastClr="000000"/>
          </a:solidFill>
          <a:latin typeface="BentonSans Book" panose="02000503040000020004"/>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ysClr val="windowText" lastClr="000000"/>
                </a:solidFill>
                <a:latin typeface="BentonSans Book"/>
                <a:ea typeface="+mn-ea"/>
                <a:cs typeface="+mn-cs"/>
              </a:defRPr>
            </a:pPr>
            <a:r>
              <a:rPr lang="en-US" sz="1000" b="1">
                <a:solidFill>
                  <a:sysClr val="windowText" lastClr="000000"/>
                </a:solidFill>
              </a:rPr>
              <a:t>Rejection Rate in Value</a:t>
            </a:r>
          </a:p>
        </c:rich>
      </c:tx>
      <c:overlay val="0"/>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BentonSans Book"/>
              <a:ea typeface="+mn-ea"/>
              <a:cs typeface="+mn-cs"/>
            </a:defRPr>
          </a:pPr>
          <a:endParaRPr lang="en-US"/>
        </a:p>
      </c:txPr>
    </c:title>
    <c:autoTitleDeleted val="0"/>
    <c:plotArea>
      <c:layout/>
      <c:barChart>
        <c:barDir val="col"/>
        <c:grouping val="clustered"/>
        <c:varyColors val="0"/>
        <c:ser>
          <c:idx val="0"/>
          <c:order val="0"/>
          <c:tx>
            <c:strRef>
              <c:f>SAMMURY!$G$35</c:f>
              <c:strCache>
                <c:ptCount val="1"/>
                <c:pt idx="0">
                  <c:v>Dec-17</c:v>
                </c:pt>
              </c:strCache>
            </c:strRef>
          </c:tx>
          <c:spPr>
            <a:solidFill>
              <a:srgbClr val="ED7D31">
                <a:lumMod val="75000"/>
              </a:srgbClr>
            </a:solidFill>
            <a:ln>
              <a:noFill/>
            </a:ln>
            <a:effectLst/>
          </c:spPr>
          <c:invertIfNegative val="0"/>
          <c:cat>
            <c:strRef>
              <c:f>SAMMURY!$F$36:$F$46</c:f>
              <c:strCache>
                <c:ptCount val="11"/>
                <c:pt idx="0">
                  <c:v>Personal loans</c:v>
                </c:pt>
                <c:pt idx="1">
                  <c:v>Agricultural, fisheries&amp; livestock</c:v>
                </c:pt>
                <c:pt idx="2">
                  <c:v> Mining activities</c:v>
                </c:pt>
                <c:pt idx="3">
                  <c:v>Manufacturing activities</c:v>
                </c:pt>
                <c:pt idx="4">
                  <c:v>Water &amp; energy activities</c:v>
                </c:pt>
                <c:pt idx="5">
                  <c:v> Mortgage industries</c:v>
                </c:pt>
                <c:pt idx="6">
                  <c:v> Trade</c:v>
                </c:pt>
                <c:pt idx="7">
                  <c:v>Restaurants and Hotels</c:v>
                </c:pt>
                <c:pt idx="8">
                  <c:v>Transport &amp; warehousing</c:v>
                </c:pt>
                <c:pt idx="9">
                  <c:v> OFI &amp;Insurance</c:v>
                </c:pt>
                <c:pt idx="10">
                  <c:v>Service sector</c:v>
                </c:pt>
              </c:strCache>
            </c:strRef>
          </c:cat>
          <c:val>
            <c:numRef>
              <c:f>SAMMURY!$G$36:$G$46</c:f>
              <c:numCache>
                <c:formatCode>0.0</c:formatCode>
                <c:ptCount val="11"/>
                <c:pt idx="0">
                  <c:v>14.815816725717269</c:v>
                </c:pt>
                <c:pt idx="1">
                  <c:v>26.971781192517781</c:v>
                </c:pt>
                <c:pt idx="2">
                  <c:v>25.107236253092296</c:v>
                </c:pt>
                <c:pt idx="3">
                  <c:v>17.782214610057299</c:v>
                </c:pt>
                <c:pt idx="4">
                  <c:v>27.733376014985481</c:v>
                </c:pt>
                <c:pt idx="5">
                  <c:v>20.663631550891893</c:v>
                </c:pt>
                <c:pt idx="6">
                  <c:v>27.725040243072584</c:v>
                </c:pt>
                <c:pt idx="7">
                  <c:v>25.262994954813902</c:v>
                </c:pt>
                <c:pt idx="8">
                  <c:v>22.934056320965738</c:v>
                </c:pt>
                <c:pt idx="9">
                  <c:v>11.496837449851398</c:v>
                </c:pt>
                <c:pt idx="10">
                  <c:v>28.490070351727866</c:v>
                </c:pt>
              </c:numCache>
            </c:numRef>
          </c:val>
          <c:extLst>
            <c:ext xmlns:c16="http://schemas.microsoft.com/office/drawing/2014/chart" uri="{C3380CC4-5D6E-409C-BE32-E72D297353CC}">
              <c16:uniqueId val="{00000000-9A73-4AC1-A54B-8296D7CA912F}"/>
            </c:ext>
          </c:extLst>
        </c:ser>
        <c:ser>
          <c:idx val="1"/>
          <c:order val="1"/>
          <c:tx>
            <c:strRef>
              <c:f>SAMMURY!$H$35</c:f>
              <c:strCache>
                <c:ptCount val="1"/>
                <c:pt idx="0">
                  <c:v>Dec-18</c:v>
                </c:pt>
              </c:strCache>
            </c:strRef>
          </c:tx>
          <c:spPr>
            <a:solidFill>
              <a:srgbClr val="4472C4">
                <a:lumMod val="50000"/>
              </a:srgbClr>
            </a:solidFill>
            <a:ln>
              <a:noFill/>
            </a:ln>
            <a:effectLst/>
          </c:spPr>
          <c:invertIfNegative val="0"/>
          <c:cat>
            <c:strRef>
              <c:f>SAMMURY!$F$36:$F$46</c:f>
              <c:strCache>
                <c:ptCount val="11"/>
                <c:pt idx="0">
                  <c:v>Personal loans</c:v>
                </c:pt>
                <c:pt idx="1">
                  <c:v>Agricultural, fisheries&amp; livestock</c:v>
                </c:pt>
                <c:pt idx="2">
                  <c:v> Mining activities</c:v>
                </c:pt>
                <c:pt idx="3">
                  <c:v>Manufacturing activities</c:v>
                </c:pt>
                <c:pt idx="4">
                  <c:v>Water &amp; energy activities</c:v>
                </c:pt>
                <c:pt idx="5">
                  <c:v> Mortgage industries</c:v>
                </c:pt>
                <c:pt idx="6">
                  <c:v> Trade</c:v>
                </c:pt>
                <c:pt idx="7">
                  <c:v>Restaurants and Hotels</c:v>
                </c:pt>
                <c:pt idx="8">
                  <c:v>Transport &amp; warehousing</c:v>
                </c:pt>
                <c:pt idx="9">
                  <c:v> OFI &amp;Insurance</c:v>
                </c:pt>
                <c:pt idx="10">
                  <c:v>Service sector</c:v>
                </c:pt>
              </c:strCache>
            </c:strRef>
          </c:cat>
          <c:val>
            <c:numRef>
              <c:f>SAMMURY!$H$36:$H$46</c:f>
              <c:numCache>
                <c:formatCode>0.0</c:formatCode>
                <c:ptCount val="11"/>
                <c:pt idx="0">
                  <c:v>19.896212923266248</c:v>
                </c:pt>
                <c:pt idx="1">
                  <c:v>22.3007652972843</c:v>
                </c:pt>
                <c:pt idx="2">
                  <c:v>29.933414466389308</c:v>
                </c:pt>
                <c:pt idx="3">
                  <c:v>16</c:v>
                </c:pt>
                <c:pt idx="4">
                  <c:v>25.601428898025802</c:v>
                </c:pt>
                <c:pt idx="5">
                  <c:v>21.662716939419909</c:v>
                </c:pt>
                <c:pt idx="6">
                  <c:v>26.119613583053201</c:v>
                </c:pt>
                <c:pt idx="7">
                  <c:v>27.262994954813891</c:v>
                </c:pt>
                <c:pt idx="8">
                  <c:v>16.354458139564599</c:v>
                </c:pt>
                <c:pt idx="9">
                  <c:v>13.4457895448603</c:v>
                </c:pt>
                <c:pt idx="10">
                  <c:v>18.782214610057309</c:v>
                </c:pt>
              </c:numCache>
            </c:numRef>
          </c:val>
          <c:extLst>
            <c:ext xmlns:c16="http://schemas.microsoft.com/office/drawing/2014/chart" uri="{C3380CC4-5D6E-409C-BE32-E72D297353CC}">
              <c16:uniqueId val="{00000001-9A73-4AC1-A54B-8296D7CA912F}"/>
            </c:ext>
          </c:extLst>
        </c:ser>
        <c:dLbls>
          <c:showLegendKey val="0"/>
          <c:showVal val="0"/>
          <c:showCatName val="0"/>
          <c:showSerName val="0"/>
          <c:showPercent val="0"/>
          <c:showBubbleSize val="0"/>
        </c:dLbls>
        <c:gapWidth val="219"/>
        <c:overlap val="-27"/>
        <c:axId val="191351135"/>
        <c:axId val="191350303"/>
      </c:barChart>
      <c:catAx>
        <c:axId val="1913511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1" i="0" u="none" strike="noStrike" kern="1200" baseline="0">
                <a:solidFill>
                  <a:sysClr val="windowText" lastClr="000000"/>
                </a:solidFill>
                <a:latin typeface="BentonSans Book"/>
                <a:ea typeface="+mn-ea"/>
                <a:cs typeface="+mn-cs"/>
              </a:defRPr>
            </a:pPr>
            <a:endParaRPr lang="en-US"/>
          </a:p>
        </c:txPr>
        <c:crossAx val="191350303"/>
        <c:crosses val="autoZero"/>
        <c:auto val="1"/>
        <c:lblAlgn val="ctr"/>
        <c:lblOffset val="100"/>
        <c:noMultiLvlLbl val="0"/>
      </c:catAx>
      <c:valAx>
        <c:axId val="19135030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BentonSans Book"/>
                    <a:ea typeface="+mn-ea"/>
                    <a:cs typeface="+mn-cs"/>
                  </a:defRPr>
                </a:pPr>
                <a:r>
                  <a:rPr lang="en-US">
                    <a:solidFill>
                      <a:sysClr val="windowText" lastClr="000000"/>
                    </a:solidFill>
                  </a:rPr>
                  <a:t>Percent</a:t>
                </a:r>
              </a:p>
            </c:rich>
          </c:tx>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BentonSans Book"/>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BentonSans Book"/>
                <a:ea typeface="+mn-ea"/>
                <a:cs typeface="+mn-cs"/>
              </a:defRPr>
            </a:pPr>
            <a:endParaRPr lang="en-US"/>
          </a:p>
        </c:txPr>
        <c:crossAx val="1913511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BentonSans Book"/>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sz="1100">
          <a:latin typeface="BentonSans Book"/>
        </a:defRPr>
      </a:pPr>
      <a:endParaRPr lang="en-US"/>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ysClr val="windowText" lastClr="000000"/>
                </a:solidFill>
                <a:latin typeface="BentonSans Book"/>
                <a:ea typeface="+mn-ea"/>
                <a:cs typeface="+mn-cs"/>
              </a:defRPr>
            </a:pPr>
            <a:r>
              <a:rPr lang="en-US" sz="1000" b="1">
                <a:solidFill>
                  <a:sysClr val="windowText" lastClr="000000"/>
                </a:solidFill>
              </a:rPr>
              <a:t>Rejection Rate in Value</a:t>
            </a:r>
          </a:p>
        </c:rich>
      </c:tx>
      <c:overlay val="0"/>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BentonSans Book"/>
              <a:ea typeface="+mn-ea"/>
              <a:cs typeface="+mn-cs"/>
            </a:defRPr>
          </a:pPr>
          <a:endParaRPr lang="en-US"/>
        </a:p>
      </c:txPr>
    </c:title>
    <c:autoTitleDeleted val="0"/>
    <c:plotArea>
      <c:layout/>
      <c:barChart>
        <c:barDir val="col"/>
        <c:grouping val="clustered"/>
        <c:varyColors val="0"/>
        <c:ser>
          <c:idx val="0"/>
          <c:order val="0"/>
          <c:tx>
            <c:strRef>
              <c:f>SAMMURY!$G$35</c:f>
              <c:strCache>
                <c:ptCount val="1"/>
                <c:pt idx="0">
                  <c:v>Dec-17</c:v>
                </c:pt>
              </c:strCache>
            </c:strRef>
          </c:tx>
          <c:spPr>
            <a:solidFill>
              <a:srgbClr val="ED7D31">
                <a:lumMod val="75000"/>
              </a:srgbClr>
            </a:solidFill>
            <a:ln>
              <a:noFill/>
            </a:ln>
            <a:effectLst/>
          </c:spPr>
          <c:invertIfNegative val="0"/>
          <c:cat>
            <c:strRef>
              <c:f>SAMMURY!$F$36:$F$46</c:f>
              <c:strCache>
                <c:ptCount val="11"/>
                <c:pt idx="0">
                  <c:v>Personal loans</c:v>
                </c:pt>
                <c:pt idx="1">
                  <c:v>Agricultural, fisheries&amp; livestock</c:v>
                </c:pt>
                <c:pt idx="2">
                  <c:v> Mining activities</c:v>
                </c:pt>
                <c:pt idx="3">
                  <c:v>Manufacturing activities</c:v>
                </c:pt>
                <c:pt idx="4">
                  <c:v>Water &amp; energy activities</c:v>
                </c:pt>
                <c:pt idx="5">
                  <c:v> Mortgage industries</c:v>
                </c:pt>
                <c:pt idx="6">
                  <c:v> Trade</c:v>
                </c:pt>
                <c:pt idx="7">
                  <c:v>Restaurants and Hotels</c:v>
                </c:pt>
                <c:pt idx="8">
                  <c:v>Transport &amp; warehousing</c:v>
                </c:pt>
                <c:pt idx="9">
                  <c:v> OFI &amp;Insurance</c:v>
                </c:pt>
                <c:pt idx="10">
                  <c:v>Service sector</c:v>
                </c:pt>
              </c:strCache>
            </c:strRef>
          </c:cat>
          <c:val>
            <c:numRef>
              <c:f>SAMMURY!$G$36:$G$46</c:f>
              <c:numCache>
                <c:formatCode>0.0</c:formatCode>
                <c:ptCount val="11"/>
                <c:pt idx="0">
                  <c:v>14.815816725717269</c:v>
                </c:pt>
                <c:pt idx="1">
                  <c:v>26.971781192517781</c:v>
                </c:pt>
                <c:pt idx="2">
                  <c:v>25.107236253092296</c:v>
                </c:pt>
                <c:pt idx="3">
                  <c:v>17.782214610057299</c:v>
                </c:pt>
                <c:pt idx="4">
                  <c:v>27.733376014985481</c:v>
                </c:pt>
                <c:pt idx="5">
                  <c:v>20.663631550891893</c:v>
                </c:pt>
                <c:pt idx="6">
                  <c:v>27.725040243072584</c:v>
                </c:pt>
                <c:pt idx="7">
                  <c:v>25.262994954813902</c:v>
                </c:pt>
                <c:pt idx="8">
                  <c:v>22.934056320965738</c:v>
                </c:pt>
                <c:pt idx="9">
                  <c:v>11.496837449851398</c:v>
                </c:pt>
                <c:pt idx="10">
                  <c:v>28.490070351727866</c:v>
                </c:pt>
              </c:numCache>
            </c:numRef>
          </c:val>
          <c:extLst>
            <c:ext xmlns:c16="http://schemas.microsoft.com/office/drawing/2014/chart" uri="{C3380CC4-5D6E-409C-BE32-E72D297353CC}">
              <c16:uniqueId val="{00000000-9A73-4AC1-A54B-8296D7CA912F}"/>
            </c:ext>
          </c:extLst>
        </c:ser>
        <c:ser>
          <c:idx val="1"/>
          <c:order val="1"/>
          <c:tx>
            <c:strRef>
              <c:f>SAMMURY!$H$35</c:f>
              <c:strCache>
                <c:ptCount val="1"/>
                <c:pt idx="0">
                  <c:v>Dec-18</c:v>
                </c:pt>
              </c:strCache>
            </c:strRef>
          </c:tx>
          <c:spPr>
            <a:solidFill>
              <a:srgbClr val="4472C4">
                <a:lumMod val="50000"/>
              </a:srgbClr>
            </a:solidFill>
            <a:ln>
              <a:noFill/>
            </a:ln>
            <a:effectLst/>
          </c:spPr>
          <c:invertIfNegative val="0"/>
          <c:cat>
            <c:strRef>
              <c:f>SAMMURY!$F$36:$F$46</c:f>
              <c:strCache>
                <c:ptCount val="11"/>
                <c:pt idx="0">
                  <c:v>Personal loans</c:v>
                </c:pt>
                <c:pt idx="1">
                  <c:v>Agricultural, fisheries&amp; livestock</c:v>
                </c:pt>
                <c:pt idx="2">
                  <c:v> Mining activities</c:v>
                </c:pt>
                <c:pt idx="3">
                  <c:v>Manufacturing activities</c:v>
                </c:pt>
                <c:pt idx="4">
                  <c:v>Water &amp; energy activities</c:v>
                </c:pt>
                <c:pt idx="5">
                  <c:v> Mortgage industries</c:v>
                </c:pt>
                <c:pt idx="6">
                  <c:v> Trade</c:v>
                </c:pt>
                <c:pt idx="7">
                  <c:v>Restaurants and Hotels</c:v>
                </c:pt>
                <c:pt idx="8">
                  <c:v>Transport &amp; warehousing</c:v>
                </c:pt>
                <c:pt idx="9">
                  <c:v> OFI &amp;Insurance</c:v>
                </c:pt>
                <c:pt idx="10">
                  <c:v>Service sector</c:v>
                </c:pt>
              </c:strCache>
            </c:strRef>
          </c:cat>
          <c:val>
            <c:numRef>
              <c:f>SAMMURY!$H$36:$H$46</c:f>
              <c:numCache>
                <c:formatCode>0.0</c:formatCode>
                <c:ptCount val="11"/>
                <c:pt idx="0">
                  <c:v>19.896212923266248</c:v>
                </c:pt>
                <c:pt idx="1">
                  <c:v>22.3007652972843</c:v>
                </c:pt>
                <c:pt idx="2">
                  <c:v>29.933414466389308</c:v>
                </c:pt>
                <c:pt idx="3">
                  <c:v>16</c:v>
                </c:pt>
                <c:pt idx="4">
                  <c:v>25.601428898025802</c:v>
                </c:pt>
                <c:pt idx="5">
                  <c:v>21.662716939419909</c:v>
                </c:pt>
                <c:pt idx="6">
                  <c:v>26.119613583053201</c:v>
                </c:pt>
                <c:pt idx="7">
                  <c:v>27.262994954813891</c:v>
                </c:pt>
                <c:pt idx="8">
                  <c:v>16.354458139564599</c:v>
                </c:pt>
                <c:pt idx="9">
                  <c:v>13.4457895448603</c:v>
                </c:pt>
                <c:pt idx="10">
                  <c:v>18.782214610057309</c:v>
                </c:pt>
              </c:numCache>
            </c:numRef>
          </c:val>
          <c:extLst>
            <c:ext xmlns:c16="http://schemas.microsoft.com/office/drawing/2014/chart" uri="{C3380CC4-5D6E-409C-BE32-E72D297353CC}">
              <c16:uniqueId val="{00000001-9A73-4AC1-A54B-8296D7CA912F}"/>
            </c:ext>
          </c:extLst>
        </c:ser>
        <c:dLbls>
          <c:showLegendKey val="0"/>
          <c:showVal val="0"/>
          <c:showCatName val="0"/>
          <c:showSerName val="0"/>
          <c:showPercent val="0"/>
          <c:showBubbleSize val="0"/>
        </c:dLbls>
        <c:gapWidth val="219"/>
        <c:overlap val="-27"/>
        <c:axId val="191351135"/>
        <c:axId val="191350303"/>
      </c:barChart>
      <c:catAx>
        <c:axId val="1913511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1" i="0" u="none" strike="noStrike" kern="1200" baseline="0">
                <a:solidFill>
                  <a:sysClr val="windowText" lastClr="000000"/>
                </a:solidFill>
                <a:latin typeface="BentonSans Book"/>
                <a:ea typeface="+mn-ea"/>
                <a:cs typeface="+mn-cs"/>
              </a:defRPr>
            </a:pPr>
            <a:endParaRPr lang="en-US"/>
          </a:p>
        </c:txPr>
        <c:crossAx val="191350303"/>
        <c:crosses val="autoZero"/>
        <c:auto val="1"/>
        <c:lblAlgn val="ctr"/>
        <c:lblOffset val="100"/>
        <c:noMultiLvlLbl val="0"/>
      </c:catAx>
      <c:valAx>
        <c:axId val="19135030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BentonSans Book"/>
                    <a:ea typeface="+mn-ea"/>
                    <a:cs typeface="+mn-cs"/>
                  </a:defRPr>
                </a:pPr>
                <a:r>
                  <a:rPr lang="en-US">
                    <a:solidFill>
                      <a:sysClr val="windowText" lastClr="000000"/>
                    </a:solidFill>
                  </a:rPr>
                  <a:t>Percent</a:t>
                </a:r>
              </a:p>
            </c:rich>
          </c:tx>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BentonSans Book"/>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BentonSans Book"/>
                <a:ea typeface="+mn-ea"/>
                <a:cs typeface="+mn-cs"/>
              </a:defRPr>
            </a:pPr>
            <a:endParaRPr lang="en-US"/>
          </a:p>
        </c:txPr>
        <c:crossAx val="1913511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BentonSans Book"/>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sz="1100">
          <a:latin typeface="BentonSans Book"/>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chemeClr val="tx1"/>
                </a:solidFill>
                <a:latin typeface="BentonSans Book" panose="02000503040000020004"/>
                <a:ea typeface="+mn-ea"/>
                <a:cs typeface="+mn-cs"/>
              </a:defRPr>
            </a:pPr>
            <a:r>
              <a:rPr lang="en-US" sz="1000" b="1">
                <a:solidFill>
                  <a:schemeClr val="tx1"/>
                </a:solidFill>
              </a:rPr>
              <a:t>% share in value</a:t>
            </a:r>
          </a:p>
        </c:rich>
      </c:tx>
      <c:overlay val="0"/>
      <c:spPr>
        <a:noFill/>
        <a:ln>
          <a:noFill/>
        </a:ln>
        <a:effectLst/>
      </c:spPr>
      <c:txPr>
        <a:bodyPr rot="0" spcFirstLastPara="1" vertOverflow="ellipsis" vert="horz" wrap="square" anchor="ctr" anchorCtr="1"/>
        <a:lstStyle/>
        <a:p>
          <a:pPr>
            <a:defRPr sz="1000" b="1" i="0" u="none" strike="noStrike" kern="1200" spc="0" baseline="0">
              <a:solidFill>
                <a:schemeClr val="tx1"/>
              </a:solidFill>
              <a:latin typeface="BentonSans Book" panose="02000503040000020004"/>
              <a:ea typeface="+mn-ea"/>
              <a:cs typeface="+mn-cs"/>
            </a:defRPr>
          </a:pPr>
          <a:endParaRPr lang="en-US"/>
        </a:p>
      </c:txPr>
    </c:title>
    <c:autoTitleDeleted val="0"/>
    <c:plotArea>
      <c:layout/>
      <c:barChart>
        <c:barDir val="col"/>
        <c:grouping val="clustered"/>
        <c:varyColors val="0"/>
        <c:ser>
          <c:idx val="0"/>
          <c:order val="0"/>
          <c:spPr>
            <a:solidFill>
              <a:srgbClr val="00B0F0"/>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rgbClr val="C00000"/>
                    </a:solidFill>
                    <a:latin typeface="BentonSans Book" panose="02000503040000020004"/>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SAMMURY!$A$59:$A$68</c:f>
              <c:strCache>
                <c:ptCount val="10"/>
                <c:pt idx="0">
                  <c:v>Personal loans</c:v>
                </c:pt>
                <c:pt idx="1">
                  <c:v> Agricultural, fisheries&amp; livestock</c:v>
                </c:pt>
                <c:pt idx="2">
                  <c:v>Energy and water</c:v>
                </c:pt>
                <c:pt idx="3">
                  <c:v>Mining</c:v>
                </c:pt>
                <c:pt idx="4">
                  <c:v>Manufacturing</c:v>
                </c:pt>
                <c:pt idx="5">
                  <c:v>Mortgage industries</c:v>
                </c:pt>
                <c:pt idx="6">
                  <c:v>Trade</c:v>
                </c:pt>
                <c:pt idx="7">
                  <c:v>Hotels and Restaurant</c:v>
                </c:pt>
                <c:pt idx="8">
                  <c:v>Transport</c:v>
                </c:pt>
                <c:pt idx="9">
                  <c:v>Service sector</c:v>
                </c:pt>
              </c:strCache>
            </c:strRef>
          </c:cat>
          <c:val>
            <c:numRef>
              <c:f>SAMMURY!$B$59:$B$68</c:f>
              <c:numCache>
                <c:formatCode>0</c:formatCode>
                <c:ptCount val="10"/>
                <c:pt idx="0">
                  <c:v>0.31071048532550866</c:v>
                </c:pt>
                <c:pt idx="1">
                  <c:v>5.3047741566959008</c:v>
                </c:pt>
                <c:pt idx="2">
                  <c:v>0.66024327523482507</c:v>
                </c:pt>
                <c:pt idx="3">
                  <c:v>0.95735274909049639</c:v>
                </c:pt>
                <c:pt idx="4">
                  <c:v>10.53024808478964</c:v>
                </c:pt>
                <c:pt idx="5">
                  <c:v>52.891612199619928</c:v>
                </c:pt>
                <c:pt idx="6">
                  <c:v>19.458293661755626</c:v>
                </c:pt>
                <c:pt idx="7">
                  <c:v>1.8450022951279017</c:v>
                </c:pt>
                <c:pt idx="8">
                  <c:v>0.13204865504696503</c:v>
                </c:pt>
                <c:pt idx="9">
                  <c:v>7.9097144373132044</c:v>
                </c:pt>
              </c:numCache>
            </c:numRef>
          </c:val>
          <c:extLst>
            <c:ext xmlns:c16="http://schemas.microsoft.com/office/drawing/2014/chart" uri="{C3380CC4-5D6E-409C-BE32-E72D297353CC}">
              <c16:uniqueId val="{00000000-419F-46A4-8D04-C215314D31D2}"/>
            </c:ext>
          </c:extLst>
        </c:ser>
        <c:dLbls>
          <c:dLblPos val="inEnd"/>
          <c:showLegendKey val="0"/>
          <c:showVal val="1"/>
          <c:showCatName val="0"/>
          <c:showSerName val="0"/>
          <c:showPercent val="0"/>
          <c:showBubbleSize val="0"/>
        </c:dLbls>
        <c:gapWidth val="219"/>
        <c:overlap val="-27"/>
        <c:axId val="123965880"/>
        <c:axId val="123969408"/>
      </c:barChart>
      <c:catAx>
        <c:axId val="123965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1" i="0" u="none" strike="noStrike" kern="1200" baseline="0">
                <a:solidFill>
                  <a:schemeClr val="tx1"/>
                </a:solidFill>
                <a:latin typeface="BentonSans Book" panose="02000503040000020004"/>
                <a:ea typeface="+mn-ea"/>
                <a:cs typeface="+mn-cs"/>
              </a:defRPr>
            </a:pPr>
            <a:endParaRPr lang="en-US"/>
          </a:p>
        </c:txPr>
        <c:crossAx val="123969408"/>
        <c:crosses val="autoZero"/>
        <c:auto val="1"/>
        <c:lblAlgn val="ctr"/>
        <c:lblOffset val="100"/>
        <c:noMultiLvlLbl val="0"/>
      </c:catAx>
      <c:valAx>
        <c:axId val="1239694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solidFill>
                    <a:latin typeface="BentonSans Book" panose="02000503040000020004"/>
                    <a:ea typeface="+mn-ea"/>
                    <a:cs typeface="+mn-cs"/>
                  </a:defRPr>
                </a:pPr>
                <a:r>
                  <a:rPr lang="en-US" sz="1100" b="0">
                    <a:solidFill>
                      <a:schemeClr val="tx1"/>
                    </a:solidFill>
                  </a:rPr>
                  <a:t>Percent</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solidFill>
                  <a:latin typeface="BentonSans Book" panose="02000503040000020004"/>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entonSans Book" panose="02000503040000020004"/>
                <a:ea typeface="+mn-ea"/>
                <a:cs typeface="+mn-cs"/>
              </a:defRPr>
            </a:pPr>
            <a:endParaRPr lang="en-US"/>
          </a:p>
        </c:txPr>
        <c:crossAx val="123965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latin typeface="BentonSans Book" panose="02000503040000020004"/>
        </a:defRPr>
      </a:pPr>
      <a:endParaRPr lang="en-US"/>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chemeClr val="tx1"/>
                </a:solidFill>
                <a:latin typeface="BentonSans Book" panose="02000503040000020004"/>
                <a:ea typeface="+mn-ea"/>
                <a:cs typeface="+mn-cs"/>
              </a:defRPr>
            </a:pPr>
            <a:r>
              <a:rPr lang="en-US" sz="1000" b="1">
                <a:solidFill>
                  <a:schemeClr val="tx1"/>
                </a:solidFill>
              </a:rPr>
              <a:t>% share in value</a:t>
            </a:r>
          </a:p>
        </c:rich>
      </c:tx>
      <c:overlay val="0"/>
      <c:spPr>
        <a:noFill/>
        <a:ln>
          <a:noFill/>
        </a:ln>
        <a:effectLst/>
      </c:spPr>
      <c:txPr>
        <a:bodyPr rot="0" spcFirstLastPara="1" vertOverflow="ellipsis" vert="horz" wrap="square" anchor="ctr" anchorCtr="1"/>
        <a:lstStyle/>
        <a:p>
          <a:pPr>
            <a:defRPr sz="1000" b="1" i="0" u="none" strike="noStrike" kern="1200" spc="0" baseline="0">
              <a:solidFill>
                <a:schemeClr val="tx1"/>
              </a:solidFill>
              <a:latin typeface="BentonSans Book" panose="02000503040000020004"/>
              <a:ea typeface="+mn-ea"/>
              <a:cs typeface="+mn-cs"/>
            </a:defRPr>
          </a:pPr>
          <a:endParaRPr lang="en-US"/>
        </a:p>
      </c:txPr>
    </c:title>
    <c:autoTitleDeleted val="0"/>
    <c:plotArea>
      <c:layout/>
      <c:barChart>
        <c:barDir val="col"/>
        <c:grouping val="clustered"/>
        <c:varyColors val="0"/>
        <c:ser>
          <c:idx val="0"/>
          <c:order val="0"/>
          <c:spPr>
            <a:solidFill>
              <a:srgbClr val="00B0F0"/>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rgbClr val="C00000"/>
                    </a:solidFill>
                    <a:latin typeface="BentonSans Book" panose="02000503040000020004"/>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SAMMURY!$A$59:$A$68</c:f>
              <c:strCache>
                <c:ptCount val="10"/>
                <c:pt idx="0">
                  <c:v>Personal loans</c:v>
                </c:pt>
                <c:pt idx="1">
                  <c:v> Agricultural, fisheries&amp; livestock</c:v>
                </c:pt>
                <c:pt idx="2">
                  <c:v>Energy and water</c:v>
                </c:pt>
                <c:pt idx="3">
                  <c:v>Mining</c:v>
                </c:pt>
                <c:pt idx="4">
                  <c:v>Manufacturing</c:v>
                </c:pt>
                <c:pt idx="5">
                  <c:v>Mortgage industries</c:v>
                </c:pt>
                <c:pt idx="6">
                  <c:v>Trade</c:v>
                </c:pt>
                <c:pt idx="7">
                  <c:v>Hotels and Restaurant</c:v>
                </c:pt>
                <c:pt idx="8">
                  <c:v>Transport</c:v>
                </c:pt>
                <c:pt idx="9">
                  <c:v>Service sector</c:v>
                </c:pt>
              </c:strCache>
            </c:strRef>
          </c:cat>
          <c:val>
            <c:numRef>
              <c:f>SAMMURY!$B$59:$B$68</c:f>
              <c:numCache>
                <c:formatCode>0</c:formatCode>
                <c:ptCount val="10"/>
                <c:pt idx="0">
                  <c:v>0.31071048532550866</c:v>
                </c:pt>
                <c:pt idx="1">
                  <c:v>5.3047741566959008</c:v>
                </c:pt>
                <c:pt idx="2">
                  <c:v>0.66024327523482507</c:v>
                </c:pt>
                <c:pt idx="3">
                  <c:v>0.95735274909049639</c:v>
                </c:pt>
                <c:pt idx="4">
                  <c:v>10.53024808478964</c:v>
                </c:pt>
                <c:pt idx="5">
                  <c:v>52.891612199619928</c:v>
                </c:pt>
                <c:pt idx="6">
                  <c:v>19.458293661755626</c:v>
                </c:pt>
                <c:pt idx="7">
                  <c:v>1.8450022951279017</c:v>
                </c:pt>
                <c:pt idx="8">
                  <c:v>0.13204865504696503</c:v>
                </c:pt>
                <c:pt idx="9">
                  <c:v>7.9097144373132044</c:v>
                </c:pt>
              </c:numCache>
            </c:numRef>
          </c:val>
          <c:extLst>
            <c:ext xmlns:c16="http://schemas.microsoft.com/office/drawing/2014/chart" uri="{C3380CC4-5D6E-409C-BE32-E72D297353CC}">
              <c16:uniqueId val="{00000000-419F-46A4-8D04-C215314D31D2}"/>
            </c:ext>
          </c:extLst>
        </c:ser>
        <c:dLbls>
          <c:dLblPos val="inEnd"/>
          <c:showLegendKey val="0"/>
          <c:showVal val="1"/>
          <c:showCatName val="0"/>
          <c:showSerName val="0"/>
          <c:showPercent val="0"/>
          <c:showBubbleSize val="0"/>
        </c:dLbls>
        <c:gapWidth val="219"/>
        <c:overlap val="-27"/>
        <c:axId val="123965880"/>
        <c:axId val="123969408"/>
      </c:barChart>
      <c:catAx>
        <c:axId val="123965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1" i="0" u="none" strike="noStrike" kern="1200" baseline="0">
                <a:solidFill>
                  <a:schemeClr val="tx1"/>
                </a:solidFill>
                <a:latin typeface="BentonSans Book" panose="02000503040000020004"/>
                <a:ea typeface="+mn-ea"/>
                <a:cs typeface="+mn-cs"/>
              </a:defRPr>
            </a:pPr>
            <a:endParaRPr lang="en-US"/>
          </a:p>
        </c:txPr>
        <c:crossAx val="123969408"/>
        <c:crosses val="autoZero"/>
        <c:auto val="1"/>
        <c:lblAlgn val="ctr"/>
        <c:lblOffset val="100"/>
        <c:noMultiLvlLbl val="0"/>
      </c:catAx>
      <c:valAx>
        <c:axId val="1239694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solidFill>
                    <a:latin typeface="BentonSans Book" panose="02000503040000020004"/>
                    <a:ea typeface="+mn-ea"/>
                    <a:cs typeface="+mn-cs"/>
                  </a:defRPr>
                </a:pPr>
                <a:r>
                  <a:rPr lang="en-US" sz="1100" b="0">
                    <a:solidFill>
                      <a:schemeClr val="tx1"/>
                    </a:solidFill>
                  </a:rPr>
                  <a:t>Percent</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solidFill>
                  <a:latin typeface="BentonSans Book" panose="02000503040000020004"/>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entonSans Book" panose="02000503040000020004"/>
                <a:ea typeface="+mn-ea"/>
                <a:cs typeface="+mn-cs"/>
              </a:defRPr>
            </a:pPr>
            <a:endParaRPr lang="en-US"/>
          </a:p>
        </c:txPr>
        <c:crossAx val="123965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latin typeface="BentonSans Book" panose="02000503040000020004"/>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1" i="0" u="none" strike="noStrike" kern="1200" spc="0" baseline="0">
                <a:solidFill>
                  <a:schemeClr val="tx1"/>
                </a:solidFill>
                <a:latin typeface="BentonSans Book"/>
                <a:ea typeface="+mn-ea"/>
                <a:cs typeface="+mn-cs"/>
              </a:defRPr>
            </a:pPr>
            <a:r>
              <a:rPr lang="en-US" sz="800" b="1">
                <a:solidFill>
                  <a:schemeClr val="tx1"/>
                </a:solidFill>
              </a:rPr>
              <a:t>Expectations on Lending </a:t>
            </a:r>
          </a:p>
        </c:rich>
      </c:tx>
      <c:overlay val="0"/>
      <c:spPr>
        <a:noFill/>
        <a:ln>
          <a:noFill/>
        </a:ln>
        <a:effectLst/>
      </c:spPr>
      <c:txPr>
        <a:bodyPr rot="0" spcFirstLastPara="1" vertOverflow="ellipsis" vert="horz" wrap="square" anchor="ctr" anchorCtr="1"/>
        <a:lstStyle/>
        <a:p>
          <a:pPr>
            <a:defRPr sz="800" b="1" i="0" u="none" strike="noStrike" kern="1200" spc="0" baseline="0">
              <a:solidFill>
                <a:schemeClr val="tx1"/>
              </a:solidFill>
              <a:latin typeface="BentonSans Book"/>
              <a:ea typeface="+mn-ea"/>
              <a:cs typeface="+mn-cs"/>
            </a:defRPr>
          </a:pPr>
          <a:endParaRPr lang="en-US"/>
        </a:p>
      </c:txPr>
    </c:title>
    <c:autoTitleDeleted val="0"/>
    <c:plotArea>
      <c:layout/>
      <c:barChart>
        <c:barDir val="bar"/>
        <c:grouping val="clustered"/>
        <c:varyColors val="0"/>
        <c:ser>
          <c:idx val="0"/>
          <c:order val="0"/>
          <c:spPr>
            <a:solidFill>
              <a:srgbClr val="ED7D31">
                <a:lumMod val="60000"/>
                <a:lumOff val="40000"/>
              </a:srgbClr>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BentonSans Book"/>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SAMMURY!$A$153:$A$157</c:f>
              <c:strCache>
                <c:ptCount val="5"/>
                <c:pt idx="0">
                  <c:v>Increase Considerably</c:v>
                </c:pt>
                <c:pt idx="1">
                  <c:v>Increase  Somewhat</c:v>
                </c:pt>
                <c:pt idx="2">
                  <c:v>Remain Unchanged</c:v>
                </c:pt>
                <c:pt idx="3">
                  <c:v>Decrease Somewhat</c:v>
                </c:pt>
                <c:pt idx="4">
                  <c:v>Decrease Considerably</c:v>
                </c:pt>
              </c:strCache>
            </c:strRef>
          </c:cat>
          <c:val>
            <c:numRef>
              <c:f>SAMMURY!$B$153:$B$157</c:f>
              <c:numCache>
                <c:formatCode>General</c:formatCode>
                <c:ptCount val="5"/>
                <c:pt idx="0">
                  <c:v>4</c:v>
                </c:pt>
                <c:pt idx="1">
                  <c:v>7</c:v>
                </c:pt>
                <c:pt idx="3">
                  <c:v>3</c:v>
                </c:pt>
                <c:pt idx="4">
                  <c:v>2</c:v>
                </c:pt>
              </c:numCache>
            </c:numRef>
          </c:val>
          <c:extLst>
            <c:ext xmlns:c16="http://schemas.microsoft.com/office/drawing/2014/chart" uri="{C3380CC4-5D6E-409C-BE32-E72D297353CC}">
              <c16:uniqueId val="{00000000-2134-439B-8721-C17E502773F3}"/>
            </c:ext>
          </c:extLst>
        </c:ser>
        <c:dLbls>
          <c:showLegendKey val="0"/>
          <c:showVal val="0"/>
          <c:showCatName val="0"/>
          <c:showSerName val="0"/>
          <c:showPercent val="0"/>
          <c:showBubbleSize val="0"/>
        </c:dLbls>
        <c:gapWidth val="182"/>
        <c:axId val="1310650159"/>
        <c:axId val="1310650575"/>
      </c:barChart>
      <c:catAx>
        <c:axId val="131065015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BentonSans Book"/>
                <a:ea typeface="+mn-ea"/>
                <a:cs typeface="+mn-cs"/>
              </a:defRPr>
            </a:pPr>
            <a:endParaRPr lang="en-US"/>
          </a:p>
        </c:txPr>
        <c:crossAx val="1310650575"/>
        <c:crosses val="autoZero"/>
        <c:auto val="1"/>
        <c:lblAlgn val="ctr"/>
        <c:lblOffset val="100"/>
        <c:noMultiLvlLbl val="0"/>
      </c:catAx>
      <c:valAx>
        <c:axId val="1310650575"/>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ysClr val="windowText" lastClr="000000"/>
                    </a:solidFill>
                    <a:latin typeface="BentonSans Book"/>
                    <a:ea typeface="+mn-ea"/>
                    <a:cs typeface="+mn-cs"/>
                  </a:defRPr>
                </a:pPr>
                <a:r>
                  <a:rPr lang="en-US" sz="900">
                    <a:solidFill>
                      <a:sysClr val="windowText" lastClr="000000"/>
                    </a:solidFill>
                  </a:rPr>
                  <a:t>Number of Banks</a:t>
                </a:r>
              </a:p>
            </c:rich>
          </c:tx>
          <c:layout>
            <c:manualLayout>
              <c:xMode val="edge"/>
              <c:yMode val="edge"/>
              <c:x val="0.33461679790026244"/>
              <c:y val="0.894722222222222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entonSans Book"/>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BentonSans Book"/>
                <a:ea typeface="+mn-ea"/>
                <a:cs typeface="+mn-cs"/>
              </a:defRPr>
            </a:pPr>
            <a:endParaRPr lang="en-US"/>
          </a:p>
        </c:txPr>
        <c:crossAx val="131065015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1200">
          <a:latin typeface="BentonSans Book"/>
        </a:defRPr>
      </a:pPr>
      <a:endParaRPr lang="en-US"/>
    </a:p>
  </c:txPr>
  <c:externalData r:id="rId4">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1" i="0" u="none" strike="noStrike" kern="1200" spc="0" baseline="0">
                <a:solidFill>
                  <a:schemeClr val="tx1"/>
                </a:solidFill>
                <a:latin typeface="BentonSans Book"/>
                <a:ea typeface="+mn-ea"/>
                <a:cs typeface="+mn-cs"/>
              </a:defRPr>
            </a:pPr>
            <a:r>
              <a:rPr lang="en-US" sz="800" b="1">
                <a:solidFill>
                  <a:schemeClr val="tx1"/>
                </a:solidFill>
              </a:rPr>
              <a:t>Expectations on Lending </a:t>
            </a:r>
          </a:p>
        </c:rich>
      </c:tx>
      <c:overlay val="0"/>
      <c:spPr>
        <a:noFill/>
        <a:ln>
          <a:noFill/>
        </a:ln>
        <a:effectLst/>
      </c:spPr>
      <c:txPr>
        <a:bodyPr rot="0" spcFirstLastPara="1" vertOverflow="ellipsis" vert="horz" wrap="square" anchor="ctr" anchorCtr="1"/>
        <a:lstStyle/>
        <a:p>
          <a:pPr>
            <a:defRPr sz="800" b="1" i="0" u="none" strike="noStrike" kern="1200" spc="0" baseline="0">
              <a:solidFill>
                <a:schemeClr val="tx1"/>
              </a:solidFill>
              <a:latin typeface="BentonSans Book"/>
              <a:ea typeface="+mn-ea"/>
              <a:cs typeface="+mn-cs"/>
            </a:defRPr>
          </a:pPr>
          <a:endParaRPr lang="en-US"/>
        </a:p>
      </c:txPr>
    </c:title>
    <c:autoTitleDeleted val="0"/>
    <c:plotArea>
      <c:layout/>
      <c:barChart>
        <c:barDir val="bar"/>
        <c:grouping val="clustered"/>
        <c:varyColors val="0"/>
        <c:ser>
          <c:idx val="0"/>
          <c:order val="0"/>
          <c:spPr>
            <a:solidFill>
              <a:srgbClr val="ED7D31">
                <a:lumMod val="60000"/>
                <a:lumOff val="40000"/>
              </a:srgbClr>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BentonSans Book"/>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SAMMURY!$A$153:$A$157</c:f>
              <c:strCache>
                <c:ptCount val="5"/>
                <c:pt idx="0">
                  <c:v>Increase Considerably</c:v>
                </c:pt>
                <c:pt idx="1">
                  <c:v>Increase  Somewhat</c:v>
                </c:pt>
                <c:pt idx="2">
                  <c:v>Remain Unchanged</c:v>
                </c:pt>
                <c:pt idx="3">
                  <c:v>Decrease Somewhat</c:v>
                </c:pt>
                <c:pt idx="4">
                  <c:v>Decrease Considerably</c:v>
                </c:pt>
              </c:strCache>
            </c:strRef>
          </c:cat>
          <c:val>
            <c:numRef>
              <c:f>SAMMURY!$B$153:$B$157</c:f>
              <c:numCache>
                <c:formatCode>General</c:formatCode>
                <c:ptCount val="5"/>
                <c:pt idx="0">
                  <c:v>4</c:v>
                </c:pt>
                <c:pt idx="1">
                  <c:v>7</c:v>
                </c:pt>
                <c:pt idx="3">
                  <c:v>3</c:v>
                </c:pt>
                <c:pt idx="4">
                  <c:v>2</c:v>
                </c:pt>
              </c:numCache>
            </c:numRef>
          </c:val>
          <c:extLst>
            <c:ext xmlns:c16="http://schemas.microsoft.com/office/drawing/2014/chart" uri="{C3380CC4-5D6E-409C-BE32-E72D297353CC}">
              <c16:uniqueId val="{00000000-2134-439B-8721-C17E502773F3}"/>
            </c:ext>
          </c:extLst>
        </c:ser>
        <c:dLbls>
          <c:showLegendKey val="0"/>
          <c:showVal val="0"/>
          <c:showCatName val="0"/>
          <c:showSerName val="0"/>
          <c:showPercent val="0"/>
          <c:showBubbleSize val="0"/>
        </c:dLbls>
        <c:gapWidth val="182"/>
        <c:axId val="1310650159"/>
        <c:axId val="1310650575"/>
      </c:barChart>
      <c:catAx>
        <c:axId val="131065015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BentonSans Book"/>
                <a:ea typeface="+mn-ea"/>
                <a:cs typeface="+mn-cs"/>
              </a:defRPr>
            </a:pPr>
            <a:endParaRPr lang="en-US"/>
          </a:p>
        </c:txPr>
        <c:crossAx val="1310650575"/>
        <c:crosses val="autoZero"/>
        <c:auto val="1"/>
        <c:lblAlgn val="ctr"/>
        <c:lblOffset val="100"/>
        <c:noMultiLvlLbl val="0"/>
      </c:catAx>
      <c:valAx>
        <c:axId val="1310650575"/>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ysClr val="windowText" lastClr="000000"/>
                    </a:solidFill>
                    <a:latin typeface="BentonSans Book"/>
                    <a:ea typeface="+mn-ea"/>
                    <a:cs typeface="+mn-cs"/>
                  </a:defRPr>
                </a:pPr>
                <a:r>
                  <a:rPr lang="en-US" sz="900">
                    <a:solidFill>
                      <a:sysClr val="windowText" lastClr="000000"/>
                    </a:solidFill>
                  </a:rPr>
                  <a:t>Number of Banks</a:t>
                </a:r>
              </a:p>
            </c:rich>
          </c:tx>
          <c:layout>
            <c:manualLayout>
              <c:xMode val="edge"/>
              <c:yMode val="edge"/>
              <c:x val="0.33461679790026244"/>
              <c:y val="0.894722222222222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entonSans Book"/>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BentonSans Book"/>
                <a:ea typeface="+mn-ea"/>
                <a:cs typeface="+mn-cs"/>
              </a:defRPr>
            </a:pPr>
            <a:endParaRPr lang="en-US"/>
          </a:p>
        </c:txPr>
        <c:crossAx val="131065015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1200">
          <a:latin typeface="BentonSans Book"/>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1" i="0" u="none" strike="noStrike" kern="1200" spc="0" baseline="0">
                <a:solidFill>
                  <a:sysClr val="windowText" lastClr="000000"/>
                </a:solidFill>
                <a:latin typeface="BentonSans Book"/>
                <a:ea typeface="+mn-ea"/>
                <a:cs typeface="+mn-cs"/>
              </a:defRPr>
            </a:pPr>
            <a:r>
              <a:rPr lang="en-US" sz="800" b="1">
                <a:solidFill>
                  <a:sysClr val="windowText" lastClr="000000"/>
                </a:solidFill>
              </a:rPr>
              <a:t>Expectations on Interet Rate</a:t>
            </a:r>
          </a:p>
        </c:rich>
      </c:tx>
      <c:overlay val="0"/>
      <c:spPr>
        <a:noFill/>
        <a:ln>
          <a:noFill/>
        </a:ln>
        <a:effectLst/>
      </c:spPr>
      <c:txPr>
        <a:bodyPr rot="0" spcFirstLastPara="1" vertOverflow="ellipsis" vert="horz" wrap="square" anchor="ctr" anchorCtr="1"/>
        <a:lstStyle/>
        <a:p>
          <a:pPr>
            <a:defRPr sz="800" b="1" i="0" u="none" strike="noStrike" kern="1200" spc="0" baseline="0">
              <a:solidFill>
                <a:sysClr val="windowText" lastClr="000000"/>
              </a:solidFill>
              <a:latin typeface="BentonSans Book"/>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634-4F57-9F4F-F95C8440033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634-4F57-9F4F-F95C8440033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634-4F57-9F4F-F95C8440033C}"/>
              </c:ext>
            </c:extLst>
          </c:dPt>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BentonSans Book"/>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Sheet1!$C$3:$C$5</c:f>
              <c:strCache>
                <c:ptCount val="3"/>
                <c:pt idx="0">
                  <c:v>Increase</c:v>
                </c:pt>
                <c:pt idx="1">
                  <c:v>Decrease</c:v>
                </c:pt>
                <c:pt idx="2">
                  <c:v>Remain unchanged</c:v>
                </c:pt>
              </c:strCache>
            </c:strRef>
          </c:cat>
          <c:val>
            <c:numRef>
              <c:f>Sheet1!$D$3:$D$5</c:f>
              <c:numCache>
                <c:formatCode>General</c:formatCode>
                <c:ptCount val="3"/>
                <c:pt idx="0">
                  <c:v>2</c:v>
                </c:pt>
                <c:pt idx="1">
                  <c:v>4</c:v>
                </c:pt>
                <c:pt idx="2">
                  <c:v>10</c:v>
                </c:pt>
              </c:numCache>
            </c:numRef>
          </c:val>
          <c:extLst>
            <c:ext xmlns:c16="http://schemas.microsoft.com/office/drawing/2014/chart" uri="{C3380CC4-5D6E-409C-BE32-E72D297353CC}">
              <c16:uniqueId val="{00000006-C634-4F57-9F4F-F95C8440033C}"/>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entonSans Book"/>
              <a:ea typeface="+mn-ea"/>
              <a:cs typeface="+mn-cs"/>
            </a:defRPr>
          </a:pPr>
          <a:endParaRPr lang="en-US"/>
        </a:p>
      </c:txPr>
    </c:legend>
    <c:plotVisOnly val="1"/>
    <c:dispBlanksAs val="gap"/>
    <c:showDLblsOverMax val="0"/>
  </c:chart>
  <c:spPr>
    <a:noFill/>
    <a:ln w="9525" cap="flat" cmpd="sng" algn="ctr">
      <a:solidFill>
        <a:sysClr val="windowText" lastClr="000000"/>
      </a:solidFill>
      <a:round/>
    </a:ln>
    <a:effectLst/>
  </c:spPr>
  <c:txPr>
    <a:bodyPr/>
    <a:lstStyle/>
    <a:p>
      <a:pPr>
        <a:defRPr>
          <a:latin typeface="BentonSans Book"/>
        </a:defRPr>
      </a:pPr>
      <a:endParaRPr lang="en-US"/>
    </a:p>
  </c:txPr>
  <c:externalData r:id="rId4">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1" i="0" u="none" strike="noStrike" kern="1200" spc="0" baseline="0">
                <a:solidFill>
                  <a:sysClr val="windowText" lastClr="000000"/>
                </a:solidFill>
                <a:latin typeface="BentonSans Book"/>
                <a:ea typeface="+mn-ea"/>
                <a:cs typeface="+mn-cs"/>
              </a:defRPr>
            </a:pPr>
            <a:r>
              <a:rPr lang="en-US" sz="800" b="1">
                <a:solidFill>
                  <a:sysClr val="windowText" lastClr="000000"/>
                </a:solidFill>
              </a:rPr>
              <a:t>Expectations on Interet Rate</a:t>
            </a:r>
          </a:p>
        </c:rich>
      </c:tx>
      <c:overlay val="0"/>
      <c:spPr>
        <a:noFill/>
        <a:ln>
          <a:noFill/>
        </a:ln>
        <a:effectLst/>
      </c:spPr>
      <c:txPr>
        <a:bodyPr rot="0" spcFirstLastPara="1" vertOverflow="ellipsis" vert="horz" wrap="square" anchor="ctr" anchorCtr="1"/>
        <a:lstStyle/>
        <a:p>
          <a:pPr>
            <a:defRPr sz="800" b="1" i="0" u="none" strike="noStrike" kern="1200" spc="0" baseline="0">
              <a:solidFill>
                <a:sysClr val="windowText" lastClr="000000"/>
              </a:solidFill>
              <a:latin typeface="BentonSans Book"/>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634-4F57-9F4F-F95C8440033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634-4F57-9F4F-F95C8440033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634-4F57-9F4F-F95C8440033C}"/>
              </c:ext>
            </c:extLst>
          </c:dPt>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BentonSans Book"/>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Sheet1!$C$3:$C$5</c:f>
              <c:strCache>
                <c:ptCount val="3"/>
                <c:pt idx="0">
                  <c:v>Increase</c:v>
                </c:pt>
                <c:pt idx="1">
                  <c:v>Decrease</c:v>
                </c:pt>
                <c:pt idx="2">
                  <c:v>Remain unchanged</c:v>
                </c:pt>
              </c:strCache>
            </c:strRef>
          </c:cat>
          <c:val>
            <c:numRef>
              <c:f>Sheet1!$D$3:$D$5</c:f>
              <c:numCache>
                <c:formatCode>General</c:formatCode>
                <c:ptCount val="3"/>
                <c:pt idx="0">
                  <c:v>2</c:v>
                </c:pt>
                <c:pt idx="1">
                  <c:v>4</c:v>
                </c:pt>
                <c:pt idx="2">
                  <c:v>10</c:v>
                </c:pt>
              </c:numCache>
            </c:numRef>
          </c:val>
          <c:extLst>
            <c:ext xmlns:c16="http://schemas.microsoft.com/office/drawing/2014/chart" uri="{C3380CC4-5D6E-409C-BE32-E72D297353CC}">
              <c16:uniqueId val="{00000006-C634-4F57-9F4F-F95C8440033C}"/>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entonSans Book"/>
              <a:ea typeface="+mn-ea"/>
              <a:cs typeface="+mn-cs"/>
            </a:defRPr>
          </a:pPr>
          <a:endParaRPr lang="en-US"/>
        </a:p>
      </c:txPr>
    </c:legend>
    <c:plotVisOnly val="1"/>
    <c:dispBlanksAs val="gap"/>
    <c:showDLblsOverMax val="0"/>
  </c:chart>
  <c:spPr>
    <a:noFill/>
    <a:ln w="9525" cap="flat" cmpd="sng" algn="ctr">
      <a:solidFill>
        <a:sysClr val="windowText" lastClr="000000"/>
      </a:solidFill>
      <a:round/>
    </a:ln>
    <a:effectLst/>
  </c:spPr>
  <c:txPr>
    <a:bodyPr/>
    <a:lstStyle/>
    <a:p>
      <a:pPr>
        <a:defRPr>
          <a:latin typeface="BentonSans Book"/>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E72B45-195B-49AC-BB25-F5BD13489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4318</TotalTime>
  <Pages>10</Pages>
  <Words>1601</Words>
  <Characters>9126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fmurezi</dc:creator>
  <cp:keywords/>
  <dc:description/>
  <cp:lastModifiedBy>Alfred Hakuzwimana</cp:lastModifiedBy>
  <cp:revision>16</cp:revision>
  <cp:lastPrinted>2017-11-07T09:20:00Z</cp:lastPrinted>
  <dcterms:created xsi:type="dcterms:W3CDTF">2019-02-15T09:34:00Z</dcterms:created>
  <dcterms:modified xsi:type="dcterms:W3CDTF">2019-02-18T09:39:00Z</dcterms:modified>
</cp:coreProperties>
</file>